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E8B" w:rsidRDefault="00086E8B">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086E8B">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26.08.2025</w:t>
            </w:r>
          </w:p>
        </w:tc>
      </w:tr>
      <w:tr w:rsidR="00086E8B">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86E8B">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86E8B">
        <w:tblPrEx>
          <w:tblCellMar>
            <w:top w:w="0" w:type="dxa"/>
            <w:bottom w:w="0" w:type="dxa"/>
          </w:tblCellMar>
        </w:tblPrEx>
        <w:trPr>
          <w:trHeight w:val="300"/>
        </w:trPr>
        <w:tc>
          <w:tcPr>
            <w:tcW w:w="5230" w:type="dxa"/>
            <w:tcBorders>
              <w:top w:val="nil"/>
              <w:left w:val="nil"/>
              <w:bottom w:val="nil"/>
              <w:right w:val="nil"/>
            </w:tcBorders>
            <w:vAlign w:val="bottom"/>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86E8B" w:rsidRDefault="00086E8B">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086E8B">
        <w:tblPrEx>
          <w:tblCellMar>
            <w:top w:w="0" w:type="dxa"/>
            <w:bottom w:w="0" w:type="dxa"/>
          </w:tblCellMar>
        </w:tblPrEx>
        <w:trPr>
          <w:trHeight w:val="300"/>
        </w:trPr>
        <w:tc>
          <w:tcPr>
            <w:tcW w:w="10465" w:type="dxa"/>
            <w:tcBorders>
              <w:top w:val="nil"/>
              <w:left w:val="nil"/>
              <w:bottom w:val="nil"/>
              <w:right w:val="nil"/>
            </w:tcBorders>
            <w:vAlign w:val="bottom"/>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086E8B">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Чонка Ганна Iванiвна</w:t>
            </w:r>
          </w:p>
        </w:tc>
      </w:tr>
      <w:tr w:rsidR="00086E8B">
        <w:tblPrEx>
          <w:tblCellMar>
            <w:top w:w="0" w:type="dxa"/>
            <w:bottom w:w="0" w:type="dxa"/>
          </w:tblCellMar>
        </w:tblPrEx>
        <w:trPr>
          <w:trHeight w:val="200"/>
        </w:trPr>
        <w:tc>
          <w:tcPr>
            <w:tcW w:w="3415" w:type="dxa"/>
            <w:tcBorders>
              <w:top w:val="nil"/>
              <w:left w:val="nil"/>
              <w:bottom w:val="nil"/>
              <w:right w:val="nil"/>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86E8B" w:rsidRDefault="00086E8B">
      <w:pPr>
        <w:widowControl w:val="0"/>
        <w:autoSpaceDE w:val="0"/>
        <w:autoSpaceDN w:val="0"/>
        <w:adjustRightInd w:val="0"/>
        <w:spacing w:after="0" w:line="240" w:lineRule="auto"/>
        <w:rPr>
          <w:rFonts w:ascii="Times New Roman CYR" w:hAnsi="Times New Roman CYR" w:cs="Times New Roman CYR"/>
          <w:sz w:val="20"/>
          <w:szCs w:val="20"/>
        </w:r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86E8B" w:rsidRDefault="00086E8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товариство"Iршавремверстат" (00223177)</w:t>
      </w:r>
    </w:p>
    <w:p w:rsidR="00086E8B" w:rsidRDefault="00086E8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2023 рік</w:t>
      </w:r>
    </w:p>
    <w:p w:rsidR="00086E8B" w:rsidRDefault="00086E8B">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29.03.2023, Рiчна iнформацiя емiтента за 2022 р. затверджена</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086E8B">
        <w:tblPrEx>
          <w:tblCellMar>
            <w:top w:w="0" w:type="dxa"/>
            <w:bottom w:w="0" w:type="dxa"/>
          </w:tblCellMar>
        </w:tblPrEx>
        <w:trPr>
          <w:trHeight w:val="300"/>
        </w:trPr>
        <w:tc>
          <w:tcPr>
            <w:tcW w:w="3415" w:type="dxa"/>
            <w:vMerge w:val="restart"/>
            <w:tcBorders>
              <w:top w:val="nil"/>
              <w:left w:val="nil"/>
              <w:bottom w:val="nil"/>
              <w:right w:val="nil"/>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remverstat.pat.ua</w:t>
            </w:r>
          </w:p>
        </w:tc>
        <w:tc>
          <w:tcPr>
            <w:tcW w:w="1885" w:type="dxa"/>
            <w:tcBorders>
              <w:top w:val="nil"/>
              <w:left w:val="nil"/>
              <w:bottom w:val="single" w:sz="6" w:space="0" w:color="auto"/>
              <w:right w:val="nil"/>
            </w:tcBorders>
            <w:vAlign w:val="bottom"/>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26.08.2025</w:t>
            </w:r>
          </w:p>
        </w:tc>
      </w:tr>
      <w:tr w:rsidR="00086E8B">
        <w:tblPrEx>
          <w:tblCellMar>
            <w:top w:w="0" w:type="dxa"/>
            <w:bottom w:w="0" w:type="dxa"/>
          </w:tblCellMar>
        </w:tblPrEx>
        <w:trPr>
          <w:trHeight w:val="300"/>
        </w:trPr>
        <w:tc>
          <w:tcPr>
            <w:tcW w:w="3415" w:type="dxa"/>
            <w:vMerge/>
            <w:tcBorders>
              <w:top w:val="nil"/>
              <w:left w:val="nil"/>
              <w:bottom w:val="nil"/>
              <w:right w:val="nil"/>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86E8B" w:rsidRDefault="00086E8B">
      <w:pPr>
        <w:widowControl w:val="0"/>
        <w:autoSpaceDE w:val="0"/>
        <w:autoSpaceDN w:val="0"/>
        <w:adjustRightInd w:val="0"/>
        <w:spacing w:after="0" w:line="240" w:lineRule="auto"/>
        <w:rPr>
          <w:rFonts w:ascii="Times New Roman CYR" w:hAnsi="Times New Roman CYR" w:cs="Times New Roman CYR"/>
          <w:sz w:val="20"/>
          <w:szCs w:val="20"/>
        </w:rPr>
        <w:sectPr w:rsidR="00086E8B">
          <w:pgSz w:w="12240" w:h="15840"/>
          <w:pgMar w:top="570" w:right="720" w:bottom="570" w:left="720" w:header="720" w:footer="720" w:gutter="0"/>
          <w:cols w:space="720"/>
          <w:noEndnote/>
        </w:sect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I.1.2. .Складова змiсту "Iнформацiя щодо усiх випускiв цiнних паперiв, за якими надається забезпечення" не включена до складу рiчної iнформацiї, так як емiтент не має випускiв цiнних паперiв, за якимим надаються забезпечення iншими  особами.</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I.1.3.Складова змiсту " Iнформацiя щодо всiх осiб, якi надають забезпечення за зобовязаннями емiтента" не включена до складу рiчної iнформацiї, так як особи , якi надають забезпечення за випуском цiнних паперiв Товариства вiдсутнi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I.1.5. Складова змiсту " Iнформацiя про рейтингове агенство" не включена до складу рiчної iнформацiї, так як у емiтента вiдсутнє рейтиногове агенство.</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I.1.6. Складова змiсту "Судовi справи емiтента" не включена до складу рiчної iнформацiї, так як судових справ протягом звiтного року не було.</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1.7. Складова змiсту "Штрафнi санкцiї щодо емiтента" не включена до складу рiчної iнформацiї, так як штрафних санкцiй не було.</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I.2.3.Складова звiту "Iнформацiя щодо посади корпоративного секретаря":. Посада корпоративного секретаря вiдповiдно чинного законодавства у товариства не передбачена.</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I.2.5. Складова звiту "Органiзацiйна структура" - .Iнформацiя про органи управлiння розкрито у пп..I. 2.1-.I.2.2,  I.2.4.</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I.3.. Структура власностi - розкриття структури власностi  вiдповiдно  Рiшення НКЦПФР №608 вiд 06.06.2024р. не передбачено.</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4.2 Складова змiсту " Iнформацiя щодо отриманих особою лiцензiй" не включена до складу рiчної iнформацiї, так як у емiтента вiдсутнi будь-якi лiцензiї.</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4.6. Складова змiсту "Iнформацiя про обсяги виробництва та реалiзацiї основних видiв продукцiї" не включена до складу рiчної iнформацiї, так як вид дiяльностi товариства не класифiкується як переробна, добувна промисловiсть, виробництво та розподiлення електроенергiї, газу та води за класифiкатором видiв економiчної дiяльностi, тому iнформацiя про обсяги виробництва та реалiзацiї основних видiв продукцiї продукцiї не заповнюються.</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I.4.7.Складова змiсту ".Iнформацiя про собiвартiсть реалiзованої продукцiї" не включена до складу рiчної iнформацiї, так як вид дiяльностi товариства не класифiкується як переробна, добувна промисловiсть, виробництво та розподiлення електроенергiї, газу та води за класифiкатором видiв економiчної дiяльностi, тому iнформацiя собiвартiсть реалiзованої продукцiї не заповнюються.</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I.5..Складова змiсту " Участь в iнших юридичних особах" не включена до складу рiчної iнформацiї, так як емiтент не бере участi в iнших юридичних особах.</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I.6. Складова змiсту ". Вiдокремленi пiдроздiли" не включена до складу рiчної iнформацiї, так як емiтент не має вiдокремлених пiдроздiлiв.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II.2.Складова змiсту "Змiна прав на акцiї" не включена до складу рiчної iнформацiї, так як протягом звiтного року iнформацiя про  змiну прав на акцiї емiтента не розмiщувалася.</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II.3.2.Складова змiсту " Уточнення щодо наявностi обмежень за акцiями" не включена до складу рiчної iнформацiї, так як в емiтента немає обмежень по акцiям.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II.3.3.Складова змiсту " Iнформацiя про облiгацiя" не включена до складу рiчної iнформацiї, так як емiтент не випускав облiгацiй.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II.3.4.Складова змiсту "Iнформацiя про iншi цiннi папери" не включена до складу рiчної iнформацiї, так як емiтент не випускав iнших цiнних паперiв крiм акцiй.</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I.3.5.Складова змiсту " Iнформацiя про деривативнi цiннi папери" не включена до складу рiчної iнформацiї, так як емiтент не випускав деривативнi цiннi папери.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II.3.6..Складова змiсту ". Iнформацiя про забезпечення випуску боргових цiнних паперiв" не включена до складу рiчної iнформацiї, так як емiтент не випускав борговi цiннi папери.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II.3.7.Складова змiсту " Звiт про стан об'єкта нерухомостi" не включена до складу рiчної iнформацiї, так як емiтент не скадав звiт про стан об'єкта нерухомостi i не здiйснював емiсiї цiльових корпоративних облiгацiй.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II.3.8..Складова змiсту " Iнформацiя про придбання власних акцiй протягом звiтного перiоду" не включена до складу рiчної iнформацiї, так як емiтент у звiтному перiодi не предбавав власних акцiй.</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II.3.9.Складова змiсту " Iнформацiя про наявнiсть у власностi працiвникiв особи цiнних паперiв (крiм акцiй) такої особи" не включена до складу рiчної iнформацiї, так як у власностi працiвникiв емiтента вiдсутнi iншi цiннi папери (крiм акцiй) цього емiтента</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II.3.11 Складова змiсту "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включена до складу рiчної iнформацiї, так як в емiтента вiдсутнi будь-якi обмеження обiгу цiнних паперiв, в тому числi необхiднiсть отримання згоди на вiдчуження вiд iнших власникiв цiнних паперiв.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II.4.3. Складова змiсту " Iнформацiя про змiну осiб, яким належать право голосу за акцiями, сумарна кiлькiсть прав за якими стає бiльшою, меншою або рiвною пороговому значенню пакета акцiй" не включена до складу рiчної iнформацiї, так як в емiтента в звiтному роцi не було змiни таких осiб.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II.4.4.  Складова змiсту " Iнформацiя про змiну осiб, якi є власниками фiнансових iнструментiв, пов'язаних з голосуючими акцiями акцiонерного товариства, сумарна кiльсть прав за якими стає бiльшою, меншою або рiвною пороговому значенню пакету акцiй" не включена до складу рiчної iнформацiї, так як в емiтента в звiтному роцi не було змiни таких осiб.</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такого обов'язку..</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III.5.1.  Складова змiсту " Iнформацiя про прийняття рiшення про попереднє надання згоди на вчинення значних правочинiв" не включена до складу рiчної iнформацiї.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III.6.Складова змiсту " Звiт про платежi на користь держави" не включена до складу рiчної iнформацiї, так як емiтент не складав i не зобов'язаний був складати такий звiт в звiтному роцi.</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Вiдповiдно до вимог чинного законодавства України, емiтент не зобов'язаний мати власний кодекс корпоративного управлiння.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IV.1.1.3.Складова змiсту "Iнформацiя про збори власникiв облiгацiй та загальний опис прийнятих на тих зборах рiшень "не включенi до складу рiчної звiтностi, та як жодних цiнних паперiв, крiм акцiй, товариство не випускало.</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IV.1.1.4.3. Складова змiсту " Iнформацiя про проведеннi засiдання комiтетiв ради та загальних опис прийнятих рiшень" не включена до складу рiчної iнформацiї, так як в радi емiтента не створенi комiтети.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 комiтети колегiального виконавчого органу.</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IV.1.1.6..Складова змiсту "Iнформацiя про корпоративного секретаря , а також звiт щодо результатiв його дiяльностi" не включена до складу рiчної iнформацiї, так як у товариствi вiдповiдно вимог чинного законодавства посада корпоративного секретаря не передбачена.</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IV.1.1.7..Складова змiсту "Опис основних характеристик систем внутрiшнього контролю особи, а також перелiк структурних пiдроздiлiв особи, якi здiйснюють ключовi обов'яки щодо забезпечення роботи систем внутрiшнього контролю" не включена до складу рiчної iнформацiї так як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IV.1.1.9.Складова змiсту " Iнформацiя щодо будь-яких обмежень прав участi та голосування акцiонерiв (учасникi) на загальних зборах особи" не включена до складу рiчної iнформацiї, так як в емiтента вiдсутня iнформацiя щодо будь-яких обмежень прав участi та голосування акцiонерiв на загальних зборах.</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IV.1.1.10.Складова змiсту "Iнформацiя щодо порядку та звiльнення посадових осiб (крiм ради та виконавчого органу) особи", не включена до складу рiчної звiтностi. Згiдно вимог пункту 48 положення, приватними акцiонерними товариствами не розкривається iнформацiя про будь-якi винагороди або компенсацiї, якi мають бути виплаченi посадовим особам у разi їх звiльнення.</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IV.1.1.13. Складова змiсту "Iнформацiя про радника" не включена до складу рiчної iнформацiї, так як в емiтента вiдсутнi радники..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IV.1.2.Складова змiсту " Звiт про сталий розвиток" не включена до складу рiчної iнформацiї, так як дiяльнiсть емiтента не є такою, що наносить шкоду навколишньому середовищу та якихось спецiальних дiй щодо захисту довкiлля та соцiальної вiдповiдальностi за звiтний перiод емiтент не проводив.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IV.1.3.6.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IV.3.Складова змiсту " Дивiдентна полiтика" не включена до складу рiчної iнформацiї, так як емiтент не розробляб i не затверджував дивiдендну полiтику, виплата дивiдендiв здiйснюється в порядку встановленому законодавством i внутрiшнiми документами i не вiдрiзняється вiд законодавчо прийнятих норм.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sectPr w:rsidR="00086E8B">
          <w:pgSz w:w="12240" w:h="15840"/>
          <w:pgMar w:top="570" w:right="720" w:bottom="570" w:left="720" w:header="720" w:footer="720" w:gutter="0"/>
          <w:cols w:space="720"/>
          <w:noEndnote/>
        </w:sect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товариство"Iршавремверстат"</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00223177</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29.12.1994</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90300, Україна, Закарпатська обл., Iршавський р-н, м.Iршава, Гагарiна,110. Фактичне: 90300, Україна, Закарпатська обл., Iршавський р-н, м.Iршава, Гагарiна,110</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90300,Закарпатська обл.,Iршавський р-н,м.Iршава,вул.Гагарiна,110</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Yurec.3587@gmail.com</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remverstat.pat.ua</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-380954968035</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36865,5</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334</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28.49 - Виробництво iнших верстатiв</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КБ "ПРИВАТБАНК"</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UA673052990000026007043609378</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згiдно перелiку  власникiв iменних цiнних паперiв.</w:t>
            </w:r>
          </w:p>
        </w:tc>
      </w:tr>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Шевчук Анатолiй Анатолiйович</w:t>
            </w:r>
          </w:p>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Шевчук Артур Анатолiйович</w:t>
            </w:r>
          </w:p>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Шевченко Сергiй Анатолiйович</w:t>
            </w:r>
          </w:p>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контролюючий орган</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 Снегiрьова Любов Iванiвна</w:t>
            </w:r>
          </w:p>
        </w:tc>
      </w:tr>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Одноособовим виконавчим органом Товариства, що здiйснює керiвництво його поточною дiяльнiстю, є Директор</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Чонка Ганна Iванiвна</w:t>
            </w:r>
          </w:p>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bl>
    <w:p w:rsidR="00086E8B" w:rsidRDefault="00086E8B">
      <w:pPr>
        <w:widowControl w:val="0"/>
        <w:autoSpaceDE w:val="0"/>
        <w:autoSpaceDN w:val="0"/>
        <w:adjustRightInd w:val="0"/>
        <w:spacing w:after="0" w:line="240" w:lineRule="auto"/>
        <w:rPr>
          <w:rFonts w:ascii="Times New Roman CYR" w:hAnsi="Times New Roman CYR" w:cs="Times New Roman CYR"/>
        </w:rPr>
      </w:pPr>
    </w:p>
    <w:p w:rsidR="00086E8B" w:rsidRDefault="00086E8B">
      <w:pPr>
        <w:widowControl w:val="0"/>
        <w:autoSpaceDE w:val="0"/>
        <w:autoSpaceDN w:val="0"/>
        <w:adjustRightInd w:val="0"/>
        <w:spacing w:after="0" w:line="240" w:lineRule="auto"/>
        <w:rPr>
          <w:rFonts w:ascii="Times New Roman CYR" w:hAnsi="Times New Roman CYR" w:cs="Times New Roman CYR"/>
        </w:rPr>
        <w:sectPr w:rsidR="00086E8B">
          <w:pgSz w:w="12240" w:h="15840"/>
          <w:pgMar w:top="570" w:right="720" w:bottom="570" w:left="720" w:header="720" w:footer="720" w:gutter="0"/>
          <w:cols w:space="720"/>
          <w:noEndnote/>
        </w:sectPr>
      </w:pP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Анатолiй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w:t>
            </w:r>
          </w:p>
        </w:tc>
        <w:tc>
          <w:tcPr>
            <w:tcW w:w="3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Шевченко Сергiй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33</w:t>
            </w:r>
          </w:p>
        </w:tc>
        <w:tc>
          <w:tcPr>
            <w:tcW w:w="3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ПрАТ&gt; Софiя- цiннi папери&gt;</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14281801</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ПрАТ&gt; Софiя- цiннi папери&gt;</w:t>
            </w:r>
          </w:p>
        </w:tc>
        <w:tc>
          <w:tcPr>
            <w:tcW w:w="1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Артур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1996</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3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ДП ЛПП Україна</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фахiвець з розвитку мережi  магазинiв,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Чонка Ганна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w:t>
            </w:r>
          </w:p>
        </w:tc>
        <w:tc>
          <w:tcPr>
            <w:tcW w:w="3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ВАТ "Iршавремверстат"</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головного бухгалтера, головний бухгалтер,Директор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25.07.2018</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рокiв</w:t>
            </w:r>
          </w:p>
        </w:tc>
        <w:tc>
          <w:tcPr>
            <w:tcW w:w="14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086E8B">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Снегiрьова Любов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17</w:t>
            </w:r>
          </w:p>
        </w:tc>
        <w:tc>
          <w:tcPr>
            <w:tcW w:w="3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"Iршавремверстат"</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 ВМТП i Збуту</w:t>
            </w:r>
          </w:p>
        </w:tc>
        <w:tc>
          <w:tcPr>
            <w:tcW w:w="1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086E8B" w:rsidRDefault="00086E8B">
      <w:pPr>
        <w:widowControl w:val="0"/>
        <w:autoSpaceDE w:val="0"/>
        <w:autoSpaceDN w:val="0"/>
        <w:adjustRightInd w:val="0"/>
        <w:spacing w:after="0" w:line="240" w:lineRule="auto"/>
        <w:rPr>
          <w:rFonts w:ascii="Times New Roman CYR" w:hAnsi="Times New Roman CYR" w:cs="Times New Roman CYR"/>
          <w:sz w:val="20"/>
          <w:szCs w:val="20"/>
        </w:rPr>
      </w:pP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086E8B">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86E8B">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86E8B">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86E8B">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Чонка Ганна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86E8B">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Анатолiй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2 070 890</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56,17</w:t>
            </w:r>
          </w:p>
        </w:tc>
        <w:tc>
          <w:tcPr>
            <w:tcW w:w="17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2 070 890</w:t>
            </w:r>
          </w:p>
        </w:tc>
        <w:tc>
          <w:tcPr>
            <w:tcW w:w="17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86E8B">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Шевченко Сергiй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86E8B">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Артур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86E8B">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Снегiрьова Любов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86E8B" w:rsidRDefault="00086E8B">
      <w:pPr>
        <w:widowControl w:val="0"/>
        <w:autoSpaceDE w:val="0"/>
        <w:autoSpaceDN w:val="0"/>
        <w:adjustRightInd w:val="0"/>
        <w:spacing w:after="0" w:line="240" w:lineRule="auto"/>
        <w:rPr>
          <w:rFonts w:ascii="Times New Roman CYR" w:hAnsi="Times New Roman CYR" w:cs="Times New Roman CYR"/>
          <w:sz w:val="20"/>
          <w:szCs w:val="20"/>
        </w:rPr>
      </w:pPr>
    </w:p>
    <w:p w:rsidR="00086E8B" w:rsidRDefault="00086E8B">
      <w:pPr>
        <w:widowControl w:val="0"/>
        <w:autoSpaceDE w:val="0"/>
        <w:autoSpaceDN w:val="0"/>
        <w:adjustRightInd w:val="0"/>
        <w:spacing w:after="0" w:line="240" w:lineRule="auto"/>
        <w:rPr>
          <w:rFonts w:ascii="Times New Roman CYR" w:hAnsi="Times New Roman CYR" w:cs="Times New Roman CYR"/>
          <w:sz w:val="20"/>
          <w:szCs w:val="20"/>
        </w:rPr>
        <w:sectPr w:rsidR="00086E8B">
          <w:pgSz w:w="16837" w:h="11905" w:orient="landscape"/>
          <w:pgMar w:top="570" w:right="720" w:bottom="570" w:left="720" w:header="720" w:footer="720" w:gutter="0"/>
          <w:cols w:space="720"/>
          <w:noEndnote/>
        </w:sectPr>
      </w:pPr>
    </w:p>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 проводить ремонт металорiзальних та плоскошлiфувальних верстатiв всiх моделей, виготовляє запаснi частини до рiзних деревообробних верстатiв. Спецiалiзується на виготовлення запасних частин для лiсопильних рам моделей Р-63., 2Р75-1,2, РК-1. Виготовляє запаснi частини до строгального  верстата ДС-7. З товарiв народного споживання пiдприємство виготовляє садо-огороднiй iнвентар: сiкатор СО-3, мотика, топорик, граблi; будiвельний iнструмент: виски будiвельнi рiзних типорозмiрiв вiд 100грам до 1000 гр. шпателя ШП ШП-95, ШП-250, ковшi штукатурнi К-0,8, лопатки, кельми, телiжки, торговi контейнери</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Проте, iз-за вiдсутностi обiгових коштiв, iнвестицiй, пiдприємство основними видами дiяльностi не займається..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086E8B">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86E8B">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698,8</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666,9</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698,8</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666,9</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675,8</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647,9</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675,8</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647,9</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698,8</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666,9</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698,8</w:t>
            </w:r>
          </w:p>
        </w:tc>
        <w:tc>
          <w:tcPr>
            <w:tcW w:w="1082"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666,9</w:t>
            </w:r>
          </w:p>
        </w:tc>
      </w:tr>
      <w:tr w:rsidR="00086E8B">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 Всi основнi засоби власнi, орендованих немає, Обмежень при використаннi основних засобiв немає.</w:t>
            </w:r>
          </w:p>
        </w:tc>
      </w:tr>
    </w:tbl>
    <w:p w:rsidR="00086E8B" w:rsidRDefault="00086E8B">
      <w:pPr>
        <w:widowControl w:val="0"/>
        <w:autoSpaceDE w:val="0"/>
        <w:autoSpaceDN w:val="0"/>
        <w:adjustRightInd w:val="0"/>
        <w:spacing w:after="0" w:line="240" w:lineRule="auto"/>
        <w:rPr>
          <w:rFonts w:ascii="Times New Roman CYR" w:hAnsi="Times New Roman CYR" w:cs="Times New Roman CYR"/>
        </w:rPr>
      </w:pPr>
    </w:p>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086E8B">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86E8B">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47,3</w:t>
            </w:r>
          </w:p>
        </w:tc>
        <w:tc>
          <w:tcPr>
            <w:tcW w:w="3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68,7</w:t>
            </w:r>
          </w:p>
        </w:tc>
      </w:tr>
      <w:tr w:rsidR="00086E8B">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3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086E8B">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3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086E8B">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127,8</w:t>
            </w:r>
          </w:p>
        </w:tc>
        <w:tc>
          <w:tcPr>
            <w:tcW w:w="3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185,7</w:t>
            </w:r>
          </w:p>
        </w:tc>
      </w:tr>
      <w:tr w:rsidR="00086E8B">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чистих активів особи за звітний період до вартості чистих активів за </w:t>
            </w:r>
            <w:r>
              <w:rPr>
                <w:rFonts w:ascii="Times New Roman CYR" w:hAnsi="Times New Roman CYR" w:cs="Times New Roman CYR"/>
              </w:rPr>
              <w:lastRenderedPageBreak/>
              <w:t>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68,85</w:t>
            </w:r>
          </w:p>
        </w:tc>
        <w:tc>
          <w:tcPr>
            <w:tcW w:w="3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86E8B">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Висновок</w:t>
            </w:r>
          </w:p>
        </w:tc>
        <w:tc>
          <w:tcPr>
            <w:tcW w:w="8740" w:type="dxa"/>
            <w:gridSpan w:val="3"/>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Вимоги частини третьої статтi 155 Цивiльного кодексу України дотриманi. Зменшення статутного капiталу не вимагається.</w:t>
            </w:r>
          </w:p>
        </w:tc>
      </w:tr>
    </w:tbl>
    <w:p w:rsidR="00086E8B" w:rsidRDefault="00086E8B">
      <w:pPr>
        <w:widowControl w:val="0"/>
        <w:autoSpaceDE w:val="0"/>
        <w:autoSpaceDN w:val="0"/>
        <w:adjustRightInd w:val="0"/>
        <w:spacing w:after="0" w:line="240" w:lineRule="auto"/>
        <w:rPr>
          <w:rFonts w:ascii="Times New Roman CYR" w:hAnsi="Times New Roman CYR" w:cs="Times New Roman CYR"/>
        </w:rPr>
      </w:pPr>
    </w:p>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086E8B">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86E8B">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86E8B">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r w:rsidR="00086E8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86E8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p>
        </w:tc>
      </w:tr>
      <w:tr w:rsidR="00086E8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86E8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86E8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86E8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86E8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86E8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86E8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w:t>
            </w:r>
          </w:p>
        </w:tc>
        <w:tc>
          <w:tcPr>
            <w:tcW w:w="19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86E8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86E8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674,6</w:t>
            </w:r>
          </w:p>
        </w:tc>
        <w:tc>
          <w:tcPr>
            <w:tcW w:w="19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86E8B">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w:t>
            </w:r>
          </w:p>
        </w:tc>
        <w:tc>
          <w:tcPr>
            <w:tcW w:w="194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86E8B" w:rsidRDefault="00086E8B">
      <w:pPr>
        <w:widowControl w:val="0"/>
        <w:autoSpaceDE w:val="0"/>
        <w:autoSpaceDN w:val="0"/>
        <w:adjustRightInd w:val="0"/>
        <w:spacing w:after="0" w:line="240" w:lineRule="auto"/>
        <w:rPr>
          <w:rFonts w:ascii="Times New Roman CYR" w:hAnsi="Times New Roman CYR" w:cs="Times New Roman CYR"/>
        </w:rPr>
      </w:pPr>
    </w:p>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ПАТ"Нацiональний депозитарiй України"</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м.Київ, Тропiнiна,7-Г</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№189650</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086E8B" w:rsidRDefault="00086E8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"БАЛТIК ФIНАНС ГРУП"</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Організаційно-правова форма</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36797165</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79035, Україна, Львівська обл., м.Львiв, Зелена,131</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№263312</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09.12.2013</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+380-32-295-70-57</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86E8B" w:rsidRDefault="00086E8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Державне підприємство</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м.Київ, Антоновича, 51, оф. 1206</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86E8B">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86E8B" w:rsidRDefault="00086E8B">
      <w:pPr>
        <w:widowControl w:val="0"/>
        <w:autoSpaceDE w:val="0"/>
        <w:autoSpaceDN w:val="0"/>
        <w:adjustRightInd w:val="0"/>
        <w:spacing w:after="0" w:line="240" w:lineRule="auto"/>
        <w:rPr>
          <w:rFonts w:ascii="Times New Roman CYR" w:hAnsi="Times New Roman CYR" w:cs="Times New Roman CYR"/>
        </w:rPr>
      </w:pPr>
    </w:p>
    <w:p w:rsidR="00086E8B" w:rsidRDefault="00086E8B">
      <w:pPr>
        <w:widowControl w:val="0"/>
        <w:autoSpaceDE w:val="0"/>
        <w:autoSpaceDN w:val="0"/>
        <w:adjustRightInd w:val="0"/>
        <w:spacing w:after="0" w:line="240" w:lineRule="auto"/>
        <w:rPr>
          <w:rFonts w:ascii="Times New Roman CYR" w:hAnsi="Times New Roman CYR" w:cs="Times New Roman CYR"/>
        </w:rPr>
      </w:pPr>
    </w:p>
    <w:p w:rsidR="00086E8B" w:rsidRDefault="00086E8B">
      <w:pPr>
        <w:widowControl w:val="0"/>
        <w:autoSpaceDE w:val="0"/>
        <w:autoSpaceDN w:val="0"/>
        <w:adjustRightInd w:val="0"/>
        <w:spacing w:after="0" w:line="240" w:lineRule="auto"/>
        <w:rPr>
          <w:rFonts w:ascii="Times New Roman CYR" w:hAnsi="Times New Roman CYR" w:cs="Times New Roman CYR"/>
        </w:rPr>
        <w:sectPr w:rsidR="00086E8B">
          <w:pgSz w:w="12240" w:h="15840"/>
          <w:pgMar w:top="570" w:right="720" w:bottom="570" w:left="720" w:header="720" w:footer="720" w:gutter="0"/>
          <w:cols w:space="720"/>
          <w:noEndnote/>
        </w:sect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086E8B">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86E8B">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86E8B">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21/07/1/11</w:t>
            </w:r>
          </w:p>
        </w:tc>
        <w:tc>
          <w:tcPr>
            <w:tcW w:w="2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19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2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i обов"язки визначенi Статутом Товариства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Протягом звiтного року цiннi папери емiтента на органiзовано оформлених та зовнiшнiх ринках не розмiщувалис ь. Заяви про внесення до лiстингiв не подавались.</w:t>
            </w:r>
          </w:p>
        </w:tc>
        <w:tc>
          <w:tcPr>
            <w:tcW w:w="30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Емiтент не є ТОВ</w:t>
            </w:r>
          </w:p>
        </w:tc>
      </w:tr>
    </w:tbl>
    <w:p w:rsidR="00086E8B" w:rsidRDefault="00086E8B">
      <w:pPr>
        <w:widowControl w:val="0"/>
        <w:autoSpaceDE w:val="0"/>
        <w:autoSpaceDN w:val="0"/>
        <w:adjustRightInd w:val="0"/>
        <w:spacing w:after="0" w:line="240" w:lineRule="auto"/>
        <w:rPr>
          <w:rFonts w:ascii="Times New Roman CYR" w:hAnsi="Times New Roman CYR" w:cs="Times New Roman CYR"/>
        </w:rPr>
      </w:pP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086E8B">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86E8B">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86E8B">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11.05.2011</w:t>
            </w:r>
          </w:p>
        </w:tc>
        <w:tc>
          <w:tcPr>
            <w:tcW w:w="135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21/07/1/11</w:t>
            </w:r>
          </w:p>
        </w:tc>
        <w:tc>
          <w:tcPr>
            <w:tcW w:w="24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ЗТУ ДКЦПФР</w:t>
            </w:r>
          </w:p>
        </w:tc>
        <w:tc>
          <w:tcPr>
            <w:tcW w:w="17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UA0700311006</w:t>
            </w:r>
          </w:p>
        </w:tc>
        <w:tc>
          <w:tcPr>
            <w:tcW w:w="16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14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36 865,5</w:t>
            </w:r>
          </w:p>
        </w:tc>
        <w:tc>
          <w:tcPr>
            <w:tcW w:w="17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86E8B">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звiтний перiод торгiвля цiнними паперами емiтента не проводились. У лiстiнг фондових бiрж ЦП не включенi. Послугами рейтингового агенства Товариство не користується. Викуп власних акцiй емiтентом не здiйснювався. Акцiї простi на пред"явника,привiлейованi iменнi та привiлейованi на пред"явника не випускались та не реєструвались.</w:t>
            </w:r>
          </w:p>
        </w:tc>
      </w:tr>
    </w:tbl>
    <w:p w:rsidR="00086E8B" w:rsidRDefault="00086E8B">
      <w:pPr>
        <w:widowControl w:val="0"/>
        <w:autoSpaceDE w:val="0"/>
        <w:autoSpaceDN w:val="0"/>
        <w:adjustRightInd w:val="0"/>
        <w:spacing w:after="0" w:line="240" w:lineRule="auto"/>
        <w:rPr>
          <w:rFonts w:ascii="Times New Roman CYR" w:hAnsi="Times New Roman CYR" w:cs="Times New Roman CYR"/>
        </w:rPr>
      </w:pP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086E8B">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кількість голосуючих </w:t>
            </w:r>
            <w:r>
              <w:rPr>
                <w:rFonts w:ascii="Times New Roman CYR" w:hAnsi="Times New Roman CYR" w:cs="Times New Roman CYR"/>
              </w:rPr>
              <w:lastRenderedPageBreak/>
              <w:t>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акцій, права </w:t>
            </w:r>
            <w:r>
              <w:rPr>
                <w:rFonts w:ascii="Times New Roman CYR" w:hAnsi="Times New Roman CYR" w:cs="Times New Roman CYR"/>
              </w:rPr>
              <w:lastRenderedPageBreak/>
              <w:t>голосу за якими обмежено, шт.</w:t>
            </w:r>
          </w:p>
        </w:tc>
        <w:tc>
          <w:tcPr>
            <w:tcW w:w="28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акцій, права голосу за якими за результатами </w:t>
            </w:r>
            <w:r>
              <w:rPr>
                <w:rFonts w:ascii="Times New Roman CYR" w:hAnsi="Times New Roman CYR" w:cs="Times New Roman CYR"/>
              </w:rPr>
              <w:lastRenderedPageBreak/>
              <w:t>обмеження таких прав передано іншій особі, шт.</w:t>
            </w:r>
          </w:p>
        </w:tc>
      </w:tr>
      <w:tr w:rsidR="00086E8B">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86E8B">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11.05.2011</w:t>
            </w:r>
          </w:p>
        </w:tc>
        <w:tc>
          <w:tcPr>
            <w:tcW w:w="2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21/07/7/11</w:t>
            </w:r>
          </w:p>
        </w:tc>
        <w:tc>
          <w:tcPr>
            <w:tcW w:w="2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UA0700311006</w:t>
            </w:r>
          </w:p>
        </w:tc>
        <w:tc>
          <w:tcPr>
            <w:tcW w:w="20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21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36 865,5</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2 829 125</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857 425</w:t>
            </w:r>
          </w:p>
        </w:tc>
        <w:tc>
          <w:tcPr>
            <w:tcW w:w="28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уклали  договiр з депозитарною установою  на обслуговування рахунку власних цiнних паперiв не мають права голосу на загальних зборах Товариства, iнших обмежень немає.</w:t>
            </w:r>
          </w:p>
        </w:tc>
      </w:tr>
    </w:tbl>
    <w:p w:rsidR="00086E8B" w:rsidRDefault="00086E8B">
      <w:pPr>
        <w:widowControl w:val="0"/>
        <w:autoSpaceDE w:val="0"/>
        <w:autoSpaceDN w:val="0"/>
        <w:adjustRightInd w:val="0"/>
        <w:spacing w:after="0" w:line="240" w:lineRule="auto"/>
        <w:rPr>
          <w:rFonts w:ascii="Times New Roman CYR" w:hAnsi="Times New Roman CYR" w:cs="Times New Roman CYR"/>
        </w:rPr>
      </w:pPr>
    </w:p>
    <w:p w:rsidR="00086E8B" w:rsidRDefault="00086E8B">
      <w:pPr>
        <w:widowControl w:val="0"/>
        <w:autoSpaceDE w:val="0"/>
        <w:autoSpaceDN w:val="0"/>
        <w:adjustRightInd w:val="0"/>
        <w:spacing w:after="0" w:line="240" w:lineRule="auto"/>
        <w:rPr>
          <w:rFonts w:ascii="Times New Roman CYR" w:hAnsi="Times New Roman CYR" w:cs="Times New Roman CYR"/>
        </w:rPr>
        <w:sectPr w:rsidR="00086E8B">
          <w:pgSz w:w="16837" w:h="11905" w:orient="landscape"/>
          <w:pgMar w:top="570" w:right="720" w:bottom="570" w:left="720" w:header="720" w:footer="720" w:gutter="0"/>
          <w:cols w:space="720"/>
          <w:noEndnote/>
        </w:sect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"Iршавремверстат"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i юридичних осiб, якi перебувають пiд його контролем, у рамках консолiдованої фiнансової звiтностi, а також про те, що звiт керiвництва включає достовiрне та об'єктивне подання iнформацiї про розвиток i здiйснення господарської дiяльностi i стан емiтента i юридичних осiб, якi перебувають пiд його контролем, у рамках консолiдованої звiтностi, разом з описом основних ризикiв та невизначеностей, з якими вони стикаються у своїй господарськiй дiяльностi. Вiд iменi керiвництва - Директор Чонка Г.I..</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Приватне акцiонерне товариство "Iршавремверстат" є юридичною особою iз новим найменуванням, у результатi проведення державної реєстрацiї змiн до Статуту, що пов'язанi зi змiною типу Товариства у вiдповiдностi  до Закону України &lt;Про акцiонернi товариства&gt; № 514-VI вiд 17 вересня 2008 року.  Товариство засноване згiдно з Установчим договором про створення вiдкритого акцiонерного товариства "Iршавремверстат" вiд 29.12.1994 р.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 проводить ремонт металорiзальних та плоскошлiфувальних верстатiв всiх моделей, виготовляє запаснi частини до рiзних деревообробних верстатiв. Спецiалiзується на виготовлення запасних частин для лiсопильних рам моделей Р-63., 2Р75-1,2, РК-1. Виготовляє запаснi частини до строгального  верстата ДС-7. З товарiв народного споживання пiдприємство виготовляє садо-огороднiй iнвентар: сiкатор СО-3, мотика, топорик, граблi; будiвельний iнструмент: виски будiвельнi рiзних типорозмiрiв вiд 100грам до 1000 гр. шпателя ШП ШП-95, ШП-250, ковшi штукатурнi К-0,8, лопатки, кельми, телiжки, торговi контейнери</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Проте, iз-за вiдсутностi обiгових коштiв, iнвестицiй, пiдприємство основними видами дiяльностi не займається..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Укладення деривативiв або вчинення правочинiв щодо похiдних цiнних паперiв емiтентом,-за звiтний перiод не здiйснювалося.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непередбачуванiстю та неефективнiстю фiнансового ринку України, загальна програма </w:t>
      </w:r>
      <w:r>
        <w:rPr>
          <w:rFonts w:ascii="Times New Roman CYR" w:hAnsi="Times New Roman CYR" w:cs="Times New Roman CYR"/>
          <w:sz w:val="24"/>
          <w:szCs w:val="24"/>
        </w:rPr>
        <w:lastRenderedPageBreak/>
        <w:t>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iнструменти Товариства включають грошовi кошти та їх еквiваленти, торгову та iншу дебiторську заборгованiсть, торгову та iншу кредиторську заборгованiсть. Товариство не використовує похiднi фiнансовi iнструменти в своїй операцiйнiй дiяльностi   </w:t>
      </w:r>
    </w:p>
    <w:p w:rsidR="00086E8B" w:rsidRDefault="00086E8B">
      <w:pPr>
        <w:widowControl w:val="0"/>
        <w:autoSpaceDE w:val="0"/>
        <w:autoSpaceDN w:val="0"/>
        <w:adjustRightInd w:val="0"/>
        <w:spacing w:after="0" w:line="240" w:lineRule="auto"/>
        <w:jc w:val="both"/>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086E8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Метою дiяльностi Товариства є одержання прибутку для задоволення соцiально-економiчних потреб акцiонерiв та трудового колективу Товариства,</w:t>
            </w:r>
          </w:p>
        </w:tc>
      </w:tr>
      <w:tr w:rsidR="00086E8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Кожною простою iменною (голосуючою) акцiєю Товариства її власнику - Акцiонеру надається однакова сукупнiсть прав, включаючи права на: - участь в управлiннi Товариством; - отримання дивiдендiв; - отримання, у разi лiквiдацiї Товариства, частини майна або вартостi частини майна Товариства; - отримання iнформацiї про господарську дiяльнiсть Товариства в порядку, передбаченому чинним законодавством та цим Статутом. Вiдхилень вiд норм корпоративного управлiння, що викладенi в Статутi Товариства та  внутрiшнiх положень не вiдбувалось.</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Кожною простою iменною (голосуючою) акцiєю Товариства її власнику - Акцiонеру надається однакова сукупнiсть прав, включаючи права на: - участь в управлiннi Товариством; - отримання дивiдендiв; - отримання, у разi лiквiдацiї Товариства, частини майна або вартостi частини майна Товариства; - отримання iнформацiї про господарську дiяльнiсть Товариства в порядку, </w:t>
            </w:r>
            <w:r>
              <w:rPr>
                <w:rFonts w:ascii="Times New Roman CYR" w:hAnsi="Times New Roman CYR" w:cs="Times New Roman CYR"/>
                <w:sz w:val="24"/>
                <w:szCs w:val="24"/>
              </w:rPr>
              <w:lastRenderedPageBreak/>
              <w:t>передбаченому чинним законодавством та цим Статутом. Вiдхилень вiд норм корпоративного управлiння, що викладенi в Статутi Товариства та  внутрiшнiх положень не вiдбувалось.</w:t>
            </w:r>
          </w:p>
        </w:tc>
      </w:tr>
      <w:tr w:rsidR="00086E8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загальні збори акціонерів</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Участь у Загальних зборах можуть брати: 1) акцiонери Товариства (особи, якi є власниками акцiй Товариства на день проведення Загальних зборiв, незалежно вiд кiлькостi, категорiї та типу акцiй, власниками яких вони є); можливiсть голосувати за прийняття рiшень по кожному питанню порядку денного мають право тiльки власники голосуючих акцiй. Матерiали, пов`язанi з загальними зборами можуть надаватись кожному акцiонеру за письмовим запитом, за допомогою засобiв електронного зв`язку або особисто в день проведення зборiв за мiсцем їх проведення.</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Участь у Загальних зборах можуть брати: 1) акцiонери Товариства (особи, якi є власниками акцiй Товариства на день проведення Загальних зборiв, незалежно вiд кiлькостi, категорiї та типу акцiй, власниками яких вони є); 2) члени Виконавчого органу , якi не є акцiонерами (з правом дорадчого голосу); 3) представник зовнiшнього аудитора (з метою надання акцiонерам </w:t>
            </w:r>
            <w:r>
              <w:rPr>
                <w:rFonts w:ascii="Times New Roman CYR" w:hAnsi="Times New Roman CYR" w:cs="Times New Roman CYR"/>
                <w:sz w:val="24"/>
                <w:szCs w:val="24"/>
              </w:rPr>
              <w:lastRenderedPageBreak/>
              <w:t>вiдповiдей на питання щодо аудиторського висновку); 4) кандидати, внесенi в бюлетенi для голосування на виборах до органiв управлiння; 5) запрошенi особи; 6) iншi особи з дозволу Голови Загальних зборiв акцiонерiв.</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Товариства складається протягом 10 днiв з моменту закриття Загальних зборiв та пiдписується Головуючим i Секретарем Загальних зборiв.</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http://remverstat.pat.ua</w:t>
            </w:r>
          </w:p>
        </w:tc>
      </w:tr>
      <w:tr w:rsidR="00086E8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окремий документ, в якому розкрито полiтику взаємодiї з акцiонерами.</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Окремий вiддiл з питань взаємодiї з акцiонерами не створювався.</w:t>
            </w:r>
          </w:p>
        </w:tc>
      </w:tr>
      <w:tr w:rsidR="00086E8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визначено принципи, як вона </w:t>
            </w:r>
            <w:r>
              <w:rPr>
                <w:rFonts w:ascii="Times New Roman CYR" w:hAnsi="Times New Roman CYR" w:cs="Times New Roman CYR"/>
                <w:sz w:val="24"/>
                <w:szCs w:val="24"/>
              </w:rPr>
              <w:lastRenderedPageBreak/>
              <w:t>діятиме у разі пропозиції щодо поглинання, зокрема:</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Рiшення про схвалення або вiдхилення </w:t>
            </w:r>
            <w:r>
              <w:rPr>
                <w:rFonts w:ascii="Times New Roman CYR" w:hAnsi="Times New Roman CYR" w:cs="Times New Roman CYR"/>
                <w:sz w:val="24"/>
                <w:szCs w:val="24"/>
              </w:rPr>
              <w:lastRenderedPageBreak/>
              <w:t>пропозицiй щодо поглинання приймається Загальними зборами акцiонерного товариства.</w:t>
            </w:r>
          </w:p>
        </w:tc>
      </w:tr>
      <w:tr w:rsidR="00086E8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емiтента не затверджувалась та не розкривалась полiтика взаємодiїї зi стейкхолдерами.</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Перелiк своїх стейкхолдерiв не визначався.</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аспектiв взаємодiї зi стейкхолдерами не розкривався.</w:t>
            </w:r>
          </w:p>
        </w:tc>
      </w:tr>
      <w:tr w:rsidR="00086E8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акцiонерного Товариства є колегiальним органом, що здiйснює захист прав акцiонерiв Товариства, i в межах компетенцiї, визначеної Статутом та Законом України "Про акцiонернi товариства", контролює та регулює дiяльнiсть виконавчого органу.</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вимогу Наглядової ради в її засiданнi або в розглядi окремих питань порядку денного засiдання бере участь Виконавчий орган та iншi визначенi нею особи в порядку, встановленому Положенням про Наглядову раду. Товариство не веде облiку вiдвiдувань засiдань Наглядової ради.</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зобов'язанi: - дiяти в iнтересах Товариства, добросовiсно, розумно та не перевищувати своїх повноважень. Обов'язок дiяти добросовiсно i розумно означає необхiднiсть проявляти сумлiннiсть, обачливiсть та належну обережнiсть, якi були б у особи на такiй посадi за подiбних обставин; - керуватися у своїй дiяльностi чинним законодавством України, Статутом </w:t>
            </w:r>
            <w:r>
              <w:rPr>
                <w:rFonts w:ascii="Times New Roman CYR" w:hAnsi="Times New Roman CYR" w:cs="Times New Roman CYR"/>
                <w:sz w:val="24"/>
                <w:szCs w:val="24"/>
              </w:rPr>
              <w:lastRenderedPageBreak/>
              <w:t>Товариства, Положенням про Наглядову раду, iншими внутрiшнiми документами Товариства. - виконувати рiшення, прийнятi Загальними зборами акцiонерiв та Наглядовою радою Товариства;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 брати участь у засiданнях Виконавчого органу Товариства; - отримувати повну, достовiрну та своєчасну iнформацiю про Товарисво, необхiдну для виконання своїх функцiй. Знайомитися iз документами Товариства, отримувати їх копiї. Вищезазначена iнформацiя та документи надаються членам Наглядової ради протягом 5 днiв з дати отримання Товариством вiдповiдного запиту на iм'я керiвника Виконавчого органу Товариства; Посадовi особи органiв акцiонерного Товариства забезпечують членам Наглядової ради доступ до iнформацiї в межах, передбачених Законом України "Про акцiонернi товариства" та Статутом Товариства.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Оцiнка результатiв дiяльностi Товариства та його Виконавчого органу проводиться на засiданнях Наглядової ради та на Загальних зборах акцiонерiв Товариства.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вимагати скликання позачергового засiдання Наглядової ради Товариства у випадку виявлення порушень в дiяльностi Виконавчого органу. До виключної компетенцiї Наглядової ради входить прийняття рiшення про вiдсторонення Виконавчого органу вiд здiйснення повноважень та обрання особи, яка тимчасово здiйснюватиме повноваження Виконавчого органу.</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обирається Загальними зборами акцiонерiв Товариства. Члени Наглядової ради Товариства обираються з числа фiзичних осiб, якi мають повну цивiльну дiєздатнiсть, та/або з числа юридичних осiб - акцiонерiв. До членiв Наглядової ради не висуваються якiсь особливi вимоги.</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переглядаються у вiдповiдностi з потребами виробництва.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Відбір та призначення членів </w:t>
            </w:r>
            <w:r>
              <w:rPr>
                <w:rFonts w:ascii="Times New Roman CYR" w:hAnsi="Times New Roman CYR" w:cs="Times New Roman CYR"/>
                <w:sz w:val="24"/>
                <w:szCs w:val="24"/>
              </w:rPr>
              <w:lastRenderedPageBreak/>
              <w:t>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Вiдхилень вiд норм корпоративного </w:t>
            </w:r>
            <w:r>
              <w:rPr>
                <w:rFonts w:ascii="Times New Roman CYR" w:hAnsi="Times New Roman CYR" w:cs="Times New Roman CYR"/>
                <w:sz w:val="24"/>
                <w:szCs w:val="24"/>
              </w:rPr>
              <w:lastRenderedPageBreak/>
              <w:t>управлiння, що викладенi в Статутi Товариства та внутрiшнiх  положень не вiдбувалось.</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зобов`язанi  дотримуватися встановлених в Товариствi правил та процедур </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вiдбору кандидатiв у члени Наглядової ради не передбачає залучення зовнiшнiх радникiв.</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Розробка планiв наступництва для членiв Наглядової ради та Виконавчого органу не передбачена внутрiшнiми документами Товариства.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рiзноманiття складу Наглядової ради та Виконавчого органу у Товариствi не застосовується.</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Даний пiдхiд до формування складу Наглядової ради у Товариствi не застосовується.</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Незалежних членiв Наглядової ради не передбачений Статутом товариства.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Вступний тренiнг проводиться Головою Наглядової ради на першому засiданнi новообраного складу Наглядової ради Товариства з метою визначення прав та обов`язкiв членiв Наглядової ради, порядку роботи, вiдповiдальностi та визначення стратегiї пiдприємства.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розробляє план навчання, який визначає, з яких питань необхідно пройти додаткове </w:t>
            </w:r>
            <w:r>
              <w:rPr>
                <w:rFonts w:ascii="Times New Roman CYR" w:hAnsi="Times New Roman CYR" w:cs="Times New Roman CYR"/>
                <w:sz w:val="24"/>
                <w:szCs w:val="24"/>
              </w:rPr>
              <w:lastRenderedPageBreak/>
              <w:t>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Наглядовою радою не розроблявся.</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обирається серед обраних загальними зборами акцiонерiв членiв Наглядової ради.</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має необмежену можливiсть для комунiкацiї як з мажоритарними, так i з мiноритарними акцiонерами Товариства.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визначаються Положенням про Наглядова раду Товариства.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вiдсутня. Функцiї корпоративного секретаря покладено на Наглядову раду та вiдповiдального працiвника Товариства.</w:t>
            </w:r>
          </w:p>
        </w:tc>
      </w:tr>
      <w:tr w:rsidR="00086E8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086E8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є одноосiбним (Директор), який здiйснює керiвництво його поточною дiяльнiстю та органiзовує виконання рiшень Загальних зборiв акцiонерiв та Наглядової ради </w:t>
            </w:r>
            <w:r>
              <w:rPr>
                <w:rFonts w:ascii="Times New Roman CYR" w:hAnsi="Times New Roman CYR" w:cs="Times New Roman CYR"/>
                <w:sz w:val="24"/>
                <w:szCs w:val="24"/>
              </w:rPr>
              <w:lastRenderedPageBreak/>
              <w:t>Товариства.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зобов`язаний  своєчасно надавати Наглядовiй радi, внутрiшнiм та зовнiшнiм аудиторам Товариства повну i точну iнформацiю про дiяльнiсть та фiнансовий стан Товариства.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пiдзвiтний Загальним Зборам i Наглядовiй радi, органiзовує виконання їх рiшень. Директор дiє вiд iменi Товариства у межах, встановлених Статутом та чинним законодавством України. Пiсля прийняття Загальними зборами, Наглядовою радою, Головою Наглядової ради рiшень, вiднесених до їх компетенцiї. Директор має право вiд iменi Товариства вчиняти вiдповiднi дiї, укладати договори (правочини), спрямованi на виконання цих рiшень. Про виконання вищевказаних дiй ДиректорТовариства звiтує Головi Наглядової ради.</w:t>
            </w:r>
          </w:p>
        </w:tc>
      </w:tr>
      <w:tr w:rsidR="00086E8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членам Наглядової ради не виплачується. Сума винагороди виконавчого органу визначається наглядовою радою.</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виконання обов'язкiв виконавчий орган, в якостi оплати працi отримує  заробiтну плату згiдно штатного розкладу.</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членам Нагдядової ради не виплачується.</w:t>
            </w:r>
          </w:p>
        </w:tc>
      </w:tr>
      <w:tr w:rsidR="00086E8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Товариствi не створювалась система внутрiшнього контролю, яка вiдповiдає моделi концепцiї "трьох лiнiй захисту".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w:t>
            </w:r>
            <w:r>
              <w:rPr>
                <w:rFonts w:ascii="Times New Roman CYR" w:hAnsi="Times New Roman CYR" w:cs="Times New Roman CYR"/>
                <w:sz w:val="24"/>
                <w:szCs w:val="24"/>
              </w:rPr>
              <w:lastRenderedPageBreak/>
              <w:t>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вводила механiзм внутрiшнього контролю Товариства, т.я. в Наглядовiй радi вiдсутнiй комiтет з питань аудиту. Наглядова рада має змогу залучити зовнiшнього аудитора.</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Функцiя комплаєнс та ризик-менеджменту яка пiдзвiтна Наглядовiй радi  в Товариствi вiдсутня.</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видокремити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затверджувалася.</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управлiння ризиками не розглядається.</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затверджено та </w:t>
            </w:r>
            <w:r>
              <w:rPr>
                <w:rFonts w:ascii="Times New Roman CYR" w:hAnsi="Times New Roman CYR" w:cs="Times New Roman CYR"/>
                <w:sz w:val="24"/>
                <w:szCs w:val="24"/>
              </w:rPr>
              <w:lastRenderedPageBreak/>
              <w:t>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Кодекс етики в Товариствi не </w:t>
            </w:r>
            <w:r>
              <w:rPr>
                <w:rFonts w:ascii="Times New Roman CYR" w:hAnsi="Times New Roman CYR" w:cs="Times New Roman CYR"/>
                <w:sz w:val="24"/>
                <w:szCs w:val="24"/>
              </w:rPr>
              <w:lastRenderedPageBreak/>
              <w:t>затверджувався.</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забезпечено можливiсть анонiмно i безпечно повiдомляти про неправомiрну чи неетичну поведiнку.</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свою дiяльнiсть iз дотриманням антикорупцiйного законодавства. Окремий документ  щодо запобiганню корупцiї в Товариствi не затверджувався.</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запобiгання конфлiкту iнтересiв здiйснюється на пiдставi Статуту Товариства та чинного законодавства. Посадовi особи зобов'язанi уникати конфлiкту iнтересiв, утримуватися вiд прийняття вигод (благ) вiд третiх осiб,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виконавчий орган.</w:t>
            </w:r>
          </w:p>
        </w:tc>
      </w:tr>
      <w:tr w:rsidR="00086E8B">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практики процедури щорiчної самооцiнки членiв ради</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дiй для пiдвищення ефективностi роботи членiв ради та практик корпоративного управлiння в Товариствi  не розроблявся.</w:t>
            </w:r>
          </w:p>
        </w:tc>
      </w:tr>
      <w:tr w:rsidR="00086E8B">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має практики корпоративного управлiння, застосованої понад визначенi законодавством вимоги. На даний час Статутом та внутрiшнiми документами Товариства не передбачено проведення комплексної оцiнки системи корпоративного управлiння кожнi три роки.</w:t>
            </w:r>
          </w:p>
        </w:tc>
      </w:tr>
    </w:tbl>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086E8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Товариства Чонка Ганна Iванiвна, строк повноважень 5 рокiв з 25.07.2018 р.</w:t>
            </w:r>
          </w:p>
        </w:tc>
      </w:tr>
      <w:tr w:rsidR="00086E8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tc>
      </w:tr>
      <w:tr w:rsidR="00086E8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tc>
      </w:tr>
      <w:tr w:rsidR="00086E8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Вирiшення питань пов'язаних з поточною  фiнансово-господарською дiяльнiстю Товариства.</w:t>
            </w:r>
          </w:p>
        </w:tc>
      </w:tr>
      <w:tr w:rsidR="00086E8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tc>
      </w:tr>
      <w:tr w:rsidR="00086E8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tc>
      </w:tr>
      <w:tr w:rsidR="00086E8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tc>
      </w:tr>
      <w:tr w:rsidR="00086E8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jc w:val="both"/>
              <w:rPr>
                <w:rFonts w:ascii="Times New Roman CYR" w:hAnsi="Times New Roman CYR" w:cs="Times New Roman CYR"/>
              </w:rPr>
            </w:pPr>
          </w:p>
        </w:tc>
      </w:tr>
      <w:tr w:rsidR="00086E8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tc>
      </w:tr>
      <w:tr w:rsidR="00086E8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tc>
      </w:tr>
      <w:tr w:rsidR="00086E8B">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tc>
      </w:tr>
    </w:tbl>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86E8B" w:rsidRDefault="00086E8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086E8B">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86E8B">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2024.01.01</w:t>
            </w:r>
          </w:p>
        </w:tc>
      </w:tr>
      <w:tr w:rsidR="00086E8B">
        <w:tblPrEx>
          <w:tblCellMar>
            <w:top w:w="0" w:type="dxa"/>
            <w:bottom w:w="0" w:type="dxa"/>
          </w:tblCellMar>
        </w:tblPrEx>
        <w:tc>
          <w:tcPr>
            <w:tcW w:w="2160" w:type="dxa"/>
            <w:tcBorders>
              <w:top w:val="nil"/>
              <w:left w:val="nil"/>
              <w:bottom w:val="nil"/>
              <w:right w:val="nil"/>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товариство"Iршавремверстат"</w:t>
            </w:r>
          </w:p>
        </w:tc>
        <w:tc>
          <w:tcPr>
            <w:tcW w:w="1990" w:type="dxa"/>
            <w:tcBorders>
              <w:top w:val="nil"/>
              <w:left w:val="nil"/>
              <w:bottom w:val="nil"/>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00223177</w:t>
            </w:r>
          </w:p>
        </w:tc>
      </w:tr>
      <w:tr w:rsidR="00086E8B">
        <w:tblPrEx>
          <w:tblCellMar>
            <w:top w:w="0" w:type="dxa"/>
            <w:bottom w:w="0" w:type="dxa"/>
          </w:tblCellMar>
        </w:tblPrEx>
        <w:tc>
          <w:tcPr>
            <w:tcW w:w="2160" w:type="dxa"/>
            <w:tcBorders>
              <w:top w:val="nil"/>
              <w:left w:val="nil"/>
              <w:bottom w:val="nil"/>
              <w:right w:val="nil"/>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2121910100</w:t>
            </w:r>
          </w:p>
        </w:tc>
      </w:tr>
      <w:tr w:rsidR="00086E8B">
        <w:tblPrEx>
          <w:tblCellMar>
            <w:top w:w="0" w:type="dxa"/>
            <w:bottom w:w="0" w:type="dxa"/>
          </w:tblCellMar>
        </w:tblPrEx>
        <w:tc>
          <w:tcPr>
            <w:tcW w:w="2160" w:type="dxa"/>
            <w:tcBorders>
              <w:top w:val="nil"/>
              <w:left w:val="nil"/>
              <w:bottom w:val="nil"/>
              <w:right w:val="nil"/>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86E8B">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верстатів</w:t>
            </w:r>
          </w:p>
        </w:tc>
        <w:tc>
          <w:tcPr>
            <w:tcW w:w="1990" w:type="dxa"/>
            <w:tcBorders>
              <w:top w:val="nil"/>
              <w:left w:val="nil"/>
              <w:bottom w:val="nil"/>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28.49</w:t>
            </w:r>
          </w:p>
        </w:tc>
      </w:tr>
    </w:tbl>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3</w:t>
      </w:r>
    </w:p>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90300, Закарпатська обл., Iршавський р-н, м.Iршава, Гагарiна,110, -380954968035</w:t>
      </w:r>
    </w:p>
    <w:p w:rsidR="00086E8B" w:rsidRDefault="00086E8B">
      <w:pPr>
        <w:widowControl w:val="0"/>
        <w:autoSpaceDE w:val="0"/>
        <w:autoSpaceDN w:val="0"/>
        <w:adjustRightInd w:val="0"/>
        <w:spacing w:after="0" w:line="240" w:lineRule="auto"/>
        <w:rPr>
          <w:rFonts w:ascii="Times New Roman CYR" w:hAnsi="Times New Roman CYR" w:cs="Times New Roman CYR"/>
          <w:sz w:val="24"/>
          <w:szCs w:val="24"/>
        </w:r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31.12.2023 p.</w:t>
      </w:r>
    </w:p>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086E8B">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86E8B" w:rsidRDefault="00086E8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86E8B">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698,8</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666,9</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1970,8</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1937,2</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(1272)</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(1270,3)</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698,8</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666,9</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18,1</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54,2</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61,4</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753</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728,3</w:t>
            </w:r>
          </w:p>
        </w:tc>
      </w:tr>
    </w:tbl>
    <w:p w:rsidR="00086E8B" w:rsidRDefault="00086E8B">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086E8B">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r w:rsidR="00086E8B">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31,7</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w:t>
            </w:r>
          </w:p>
        </w:tc>
      </w:tr>
      <w:tr w:rsidR="00086E8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68,7</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47,3</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38,8</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45,7</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504,5</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489,9</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684,3</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753</w:t>
            </w:r>
          </w:p>
        </w:tc>
        <w:tc>
          <w:tcPr>
            <w:tcW w:w="1645"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728,3</w:t>
            </w:r>
          </w:p>
        </w:tc>
      </w:tr>
    </w:tbl>
    <w:p w:rsidR="00086E8B" w:rsidRDefault="00086E8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Вiдсутнi.</w:t>
      </w:r>
    </w:p>
    <w:p w:rsidR="00086E8B" w:rsidRDefault="00086E8B">
      <w:pPr>
        <w:widowControl w:val="0"/>
        <w:autoSpaceDE w:val="0"/>
        <w:autoSpaceDN w:val="0"/>
        <w:adjustRightInd w:val="0"/>
        <w:spacing w:after="0" w:line="240" w:lineRule="auto"/>
        <w:rPr>
          <w:rFonts w:ascii="Times New Roman CYR" w:hAnsi="Times New Roman CYR" w:cs="Times New Roman CYR"/>
        </w:rPr>
      </w:pPr>
    </w:p>
    <w:p w:rsidR="00086E8B" w:rsidRDefault="00086E8B">
      <w:pPr>
        <w:widowControl w:val="0"/>
        <w:autoSpaceDE w:val="0"/>
        <w:autoSpaceDN w:val="0"/>
        <w:adjustRightInd w:val="0"/>
        <w:spacing w:after="0" w:line="240" w:lineRule="auto"/>
        <w:rPr>
          <w:rFonts w:ascii="Times New Roman CYR" w:hAnsi="Times New Roman CYR" w:cs="Times New Roman CYR"/>
        </w:rPr>
        <w:sectPr w:rsidR="00086E8B">
          <w:pgSz w:w="12240" w:h="15840"/>
          <w:pgMar w:top="570" w:right="720" w:bottom="570" w:left="720" w:header="720" w:footer="720" w:gutter="0"/>
          <w:cols w:space="720"/>
          <w:noEndnote/>
        </w:sectPr>
      </w:pPr>
    </w:p>
    <w:p w:rsidR="00086E8B" w:rsidRDefault="00086E8B">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2023 рік</w:t>
      </w:r>
    </w:p>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086E8B">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86E8B" w:rsidRDefault="00086E8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86E8B">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339,2</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334,9</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339,2</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346,2</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(339,2)</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(334,9)</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(339,2)</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(346,2)</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86E8B">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86E8B" w:rsidRDefault="00086E8B">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86E8B" w:rsidRDefault="00086E8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Вiдсутнi</w:t>
      </w:r>
    </w:p>
    <w:p w:rsidR="00086E8B" w:rsidRDefault="00086E8B">
      <w:pPr>
        <w:widowControl w:val="0"/>
        <w:autoSpaceDE w:val="0"/>
        <w:autoSpaceDN w:val="0"/>
        <w:adjustRightInd w:val="0"/>
        <w:spacing w:after="0" w:line="240" w:lineRule="auto"/>
        <w:jc w:val="both"/>
        <w:rPr>
          <w:rFonts w:ascii="Times New Roman CYR" w:hAnsi="Times New Roman CYR" w:cs="Times New Roman CYR"/>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Чонка Г.I.</w:t>
      </w:r>
    </w:p>
    <w:p w:rsidR="00086E8B" w:rsidRDefault="00086E8B">
      <w:pPr>
        <w:widowControl w:val="0"/>
        <w:autoSpaceDE w:val="0"/>
        <w:autoSpaceDN w:val="0"/>
        <w:adjustRightInd w:val="0"/>
        <w:spacing w:after="0" w:line="240" w:lineRule="auto"/>
        <w:jc w:val="both"/>
        <w:rPr>
          <w:rFonts w:ascii="Times New Roman CYR" w:hAnsi="Times New Roman CYR" w:cs="Times New Roman CYR"/>
        </w:rPr>
      </w:pPr>
    </w:p>
    <w:p w:rsidR="00086E8B" w:rsidRDefault="00086E8B">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передбачений</w:t>
      </w:r>
    </w:p>
    <w:p w:rsidR="00086E8B" w:rsidRDefault="00086E8B">
      <w:pPr>
        <w:widowControl w:val="0"/>
        <w:autoSpaceDE w:val="0"/>
        <w:autoSpaceDN w:val="0"/>
        <w:adjustRightInd w:val="0"/>
        <w:spacing w:after="0" w:line="240" w:lineRule="auto"/>
        <w:jc w:val="both"/>
        <w:rPr>
          <w:rFonts w:ascii="Times New Roman CYR" w:hAnsi="Times New Roman CYR" w:cs="Times New Roman CYR"/>
        </w:rPr>
        <w:sectPr w:rsidR="00086E8B">
          <w:pgSz w:w="12240" w:h="15840"/>
          <w:pgMar w:top="570" w:right="720" w:bottom="570" w:left="720" w:header="720" w:footer="720" w:gutter="0"/>
          <w:cols w:space="720"/>
          <w:noEndnote/>
        </w:sectPr>
      </w:pPr>
    </w:p>
    <w:p w:rsidR="00086E8B" w:rsidRDefault="00086E8B">
      <w:pPr>
        <w:widowControl w:val="0"/>
        <w:autoSpaceDE w:val="0"/>
        <w:autoSpaceDN w:val="0"/>
        <w:adjustRightInd w:val="0"/>
        <w:spacing w:after="0" w:line="240" w:lineRule="auto"/>
        <w:rPr>
          <w:rFonts w:ascii="Times New Roman CYR" w:hAnsi="Times New Roman CYR" w:cs="Times New Roman CYR"/>
        </w:rPr>
      </w:pPr>
    </w:p>
    <w:p w:rsidR="00086E8B" w:rsidRDefault="00086E8B">
      <w:pPr>
        <w:widowControl w:val="0"/>
        <w:autoSpaceDE w:val="0"/>
        <w:autoSpaceDN w:val="0"/>
        <w:adjustRightInd w:val="0"/>
        <w:spacing w:after="0" w:line="240" w:lineRule="auto"/>
        <w:rPr>
          <w:rFonts w:ascii="Times New Roman CYR" w:hAnsi="Times New Roman CYR" w:cs="Times New Roman CYR"/>
        </w:rPr>
      </w:pPr>
    </w:p>
    <w:sectPr w:rsidR="00086E8B">
      <w:pgSz w:w="12240" w:h="15840"/>
      <w:pgMar w:top="570" w:right="720" w:bottom="57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086E8B"/>
    <w:rsid w:val="00086E8B"/>
    <w:rsid w:val="00D62F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9488</Words>
  <Characters>54083</Characters>
  <Application>Microsoft Office Word</Application>
  <DocSecurity>0</DocSecurity>
  <Lines>450</Lines>
  <Paragraphs>126</Paragraphs>
  <ScaleCrop>false</ScaleCrop>
  <Company/>
  <LinksUpToDate>false</LinksUpToDate>
  <CharactersWithSpaces>63445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2025-08-26T11:15:00Z</dcterms:created>
  <dcterms:modified xsi:type="dcterms:W3CDTF">2025-08-26T11:15:00Z</dcterms:modified>
</cp:coreProperties>
</file>