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0A3" w:rsidRDefault="007750A3">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rsidR="007750A3" w:rsidRDefault="007750A3">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230"/>
      </w:tblGrid>
      <w:tr w:rsidR="007750A3">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26.08.2025</w:t>
            </w:r>
          </w:p>
        </w:tc>
      </w:tr>
      <w:tr w:rsidR="007750A3">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7750A3">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7750A3">
        <w:tblPrEx>
          <w:tblCellMar>
            <w:top w:w="0" w:type="dxa"/>
            <w:bottom w:w="0" w:type="dxa"/>
          </w:tblCellMar>
        </w:tblPrEx>
        <w:trPr>
          <w:trHeight w:val="300"/>
        </w:trPr>
        <w:tc>
          <w:tcPr>
            <w:tcW w:w="5230" w:type="dxa"/>
            <w:tcBorders>
              <w:top w:val="nil"/>
              <w:left w:val="nil"/>
              <w:bottom w:val="nil"/>
              <w:right w:val="nil"/>
            </w:tcBorders>
            <w:vAlign w:val="bottom"/>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7750A3" w:rsidRDefault="007750A3">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0465"/>
      </w:tblGrid>
      <w:tr w:rsidR="007750A3">
        <w:tblPrEx>
          <w:tblCellMar>
            <w:top w:w="0" w:type="dxa"/>
            <w:bottom w:w="0" w:type="dxa"/>
          </w:tblCellMar>
        </w:tblPrEx>
        <w:trPr>
          <w:trHeight w:val="300"/>
        </w:trPr>
        <w:tc>
          <w:tcPr>
            <w:tcW w:w="10465" w:type="dxa"/>
            <w:tcBorders>
              <w:top w:val="nil"/>
              <w:left w:val="nil"/>
              <w:bottom w:val="nil"/>
              <w:right w:val="nil"/>
            </w:tcBorders>
            <w:vAlign w:val="bottom"/>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236"/>
        <w:gridCol w:w="3334"/>
        <w:gridCol w:w="236"/>
        <w:gridCol w:w="3284"/>
      </w:tblGrid>
      <w:tr w:rsidR="007750A3">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Чонка Ганна Iванiвна</w:t>
            </w:r>
          </w:p>
        </w:tc>
      </w:tr>
      <w:tr w:rsidR="007750A3">
        <w:tblPrEx>
          <w:tblCellMar>
            <w:top w:w="0" w:type="dxa"/>
            <w:bottom w:w="0" w:type="dxa"/>
          </w:tblCellMar>
        </w:tblPrEx>
        <w:trPr>
          <w:trHeight w:val="200"/>
        </w:trPr>
        <w:tc>
          <w:tcPr>
            <w:tcW w:w="3415" w:type="dxa"/>
            <w:tcBorders>
              <w:top w:val="nil"/>
              <w:left w:val="nil"/>
              <w:bottom w:val="nil"/>
              <w:right w:val="nil"/>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7750A3" w:rsidRDefault="007750A3">
      <w:pPr>
        <w:widowControl w:val="0"/>
        <w:autoSpaceDE w:val="0"/>
        <w:autoSpaceDN w:val="0"/>
        <w:adjustRightInd w:val="0"/>
        <w:spacing w:after="0" w:line="240" w:lineRule="auto"/>
        <w:rPr>
          <w:rFonts w:ascii="Times New Roman CYR" w:hAnsi="Times New Roman CYR" w:cs="Times New Roman CYR"/>
          <w:sz w:val="20"/>
          <w:szCs w:val="20"/>
        </w:rPr>
      </w:pPr>
    </w:p>
    <w:p w:rsidR="007750A3" w:rsidRDefault="007750A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7750A3" w:rsidRDefault="007750A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товариство"Iршавремверстат" (00223177)</w:t>
      </w:r>
    </w:p>
    <w:p w:rsidR="007750A3" w:rsidRDefault="007750A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2022 рік</w:t>
      </w:r>
    </w:p>
    <w:p w:rsidR="007750A3" w:rsidRDefault="007750A3">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29.03.2023, Рiчна iнформацiя емiтента за 2022 р. затверджена</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415"/>
        <w:gridCol w:w="5165"/>
        <w:gridCol w:w="1885"/>
      </w:tblGrid>
      <w:tr w:rsidR="007750A3">
        <w:tblPrEx>
          <w:tblCellMar>
            <w:top w:w="0" w:type="dxa"/>
            <w:bottom w:w="0" w:type="dxa"/>
          </w:tblCellMar>
        </w:tblPrEx>
        <w:trPr>
          <w:trHeight w:val="300"/>
        </w:trPr>
        <w:tc>
          <w:tcPr>
            <w:tcW w:w="3415" w:type="dxa"/>
            <w:vMerge w:val="restart"/>
            <w:tcBorders>
              <w:top w:val="nil"/>
              <w:left w:val="nil"/>
              <w:bottom w:val="nil"/>
              <w:right w:val="nil"/>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remverstat.pat.ua</w:t>
            </w:r>
          </w:p>
        </w:tc>
        <w:tc>
          <w:tcPr>
            <w:tcW w:w="1885" w:type="dxa"/>
            <w:tcBorders>
              <w:top w:val="nil"/>
              <w:left w:val="nil"/>
              <w:bottom w:val="single" w:sz="6" w:space="0" w:color="auto"/>
              <w:right w:val="nil"/>
            </w:tcBorders>
            <w:vAlign w:val="bottom"/>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26.08.2025</w:t>
            </w:r>
          </w:p>
        </w:tc>
      </w:tr>
      <w:tr w:rsidR="007750A3">
        <w:tblPrEx>
          <w:tblCellMar>
            <w:top w:w="0" w:type="dxa"/>
            <w:bottom w:w="0" w:type="dxa"/>
          </w:tblCellMar>
        </w:tblPrEx>
        <w:trPr>
          <w:trHeight w:val="300"/>
        </w:trPr>
        <w:tc>
          <w:tcPr>
            <w:tcW w:w="3415" w:type="dxa"/>
            <w:vMerge/>
            <w:tcBorders>
              <w:top w:val="nil"/>
              <w:left w:val="nil"/>
              <w:bottom w:val="nil"/>
              <w:right w:val="nil"/>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7750A3" w:rsidRDefault="007750A3">
      <w:pPr>
        <w:widowControl w:val="0"/>
        <w:autoSpaceDE w:val="0"/>
        <w:autoSpaceDN w:val="0"/>
        <w:adjustRightInd w:val="0"/>
        <w:spacing w:after="0" w:line="240" w:lineRule="auto"/>
        <w:rPr>
          <w:rFonts w:ascii="Times New Roman CYR" w:hAnsi="Times New Roman CYR" w:cs="Times New Roman CYR"/>
          <w:sz w:val="20"/>
          <w:szCs w:val="20"/>
        </w:rPr>
        <w:sectPr w:rsidR="007750A3">
          <w:pgSz w:w="12240" w:h="15840"/>
          <w:pgMar w:top="570" w:right="720" w:bottom="570" w:left="720" w:header="720" w:footer="720" w:gutter="0"/>
          <w:cols w:space="720"/>
          <w:noEndnote/>
        </w:sectPr>
      </w:pPr>
    </w:p>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I.1.2. .Складова змiсту "Iнформацiя щодо усiх випускiв цiнних паперiв, за якими надається забезпечення" не включена до складу рiчної iнформацiї, так як емiтент не має випускiв цiнних паперiв, за якимим надаються забезпечення iншими  особами.</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I.1.3.Складова змiсту " Iнформацiя щодо всiх осiб, якi надають забезпечення за зобовязаннями емiтента" не включена до складу рiчної iнформацiї, так як особи , якi надають забезпечення за випуском цiнних паперiв Товариства вiдсутнi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I.1.5. Складова змiсту " Iнформацiя про рейтингове агенство" не включена до складу рiчної iнформацiї, так як у емiтента вiдсутнє рейтиногове агенство.</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I.1.6. Складова змiсту "Судовi справи емiтента" не включена до складу рiчної iнформацiї, так як судових справ протягом звiтного року не було.</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 1.7. Складова змiсту "Штрафнi санкцiї щодо емiтента" не включена до складу рiчної iнформацiї, так як штрафних санкцiй не було.</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I.2.3.Складова звiту "Iнформацiя щодо посади корпоративного секретаря":. Посада корпоративного секретаря вiдповiдно чинного законодавства у товариства не передбачена.</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I.2.5. Складова звiту "Органiзацiйна структура" - .Iнформацiя про органи управлiння розкрито у пп..I. 2.1-.I.2.2,  I.2.4.</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I.3.. Структура власностi - розкриття структури власностi  вiдповiдно  Рiшення НКЦПФР №608 вiд 06.06.2024р. не передбачено.</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товариство, не  здiйснювало публiчну пропозицiю цiнних паперiв, та/або</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товариство, не є пiдприємством, що становить суспiльний iнтерес, та/або</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товариство не вiдноситься до  товариства у якого  100 вiдсоткiв акцiй прямо або опосередковано належить державi,</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 4.2 Складова змiсту " Iнформацiя щодо отриманих особою лiцензiй" не включена до складу рiчної iнформацiї, так як у емiтента вiдсутнi будь-якi лiцензiї.</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 4.6. Складова змiсту "Iнформацiя про обсяги виробництва та реалiзацiї основних видiв продукцiї" не включена до складу рiчної iнформацiї, так як вид дiяльностi товариства не класифiкується як переробна, добувна промисловiсть, виробництво та розподiлення електроенергiї, газу та води за класифiкатором видiв економiчної дiяльностi, тому iнформацiя про обсяги виробництва та реалiзацiї основних видiв продукцiї продукцiї не заповнюються.</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I.4.7.Складова змiсту ".Iнформацiя про собiвартiсть реалiзованої продукцiї" не включена до складу рiчної iнформацiї, так як вид дiяльностi товариства не класифiкується як переробна, добувна промисловiсть, виробництво та розподiлення електроенергiї, газу та води за класифiкатором видiв економiчної дiяльностi, тому iнформацiя собiвартiсть реалiзованої продукцiї не заповнюються.</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I.5..Складова змiсту " Участь в iнших юридичних особах" не включена до складу рiчної iнформацiї, так як емiтент не бере участi в iнших юридичних особах.</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I.6. Складова змiсту ". Вiдокремленi пiдроздiли" не включена до складу рiчної iнформацiї, так як емiтент не має вiдокремлених пiдроздiлiв.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II.2.Складова змiсту "Змiна прав на акцiї" не включена до складу рiчної iнформацiї, так як протягом звiтного року iнформацiя про  змiну прав на акцiї емiтента не розмiщувалася.</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II.3.2.Складова змiсту " Уточнення щодо наявностi обмежень за акцiями" не включена до складу рiчної iнформацiї, так як в емiтента немає обмежень по акцiям.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II.3.3.Складова змiсту " Iнформацiя про облiгацiя" не включена до складу рiчної iнформацiї, так як емiтент не випускав облiгацiй.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II.3.4.Складова змiсту "Iнформацiя про iншi цiннi папери" не включена до складу рiчної iнформацiї, так як емiтент не випускав iнших цiнних паперiв крiм акцiй.</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I.3.5.Складова змiсту " Iнформацiя про деривативнi цiннi папери" не включена до складу рiчної iнформацiї, так як емiтент не випускав деривативнi цiннi папери.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II.3.6..Складова змiсту ". Iнформацiя про забезпечення випуску боргових цiнних паперiв" не включена до складу рiчної iнформацiї, так як емiтент не випускав борговi цiннi папери.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II.3.7.Складова змiсту " Звiт про стан об'єкта нерухомостi" не включена до складу рiчної iнформацiї, так як емiтент не скадав звiт про стан об'єкта нерухомостi i не здiйснював емiсiї цiльових корпоративних облiгацiй.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II.3.8..Складова змiсту " Iнформацiя про придбання власних акцiй протягом звiтного перiоду" не включена до складу рiчної iнформацiї, так як емiтент у звiтному перiодi не предбавав власних акцiй.</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II.3.9.Складова змiсту " Iнформацiя про наявнiсть у власностi працiвникiв особи цiнних паперiв (крiм акцiй) такої особи" не включена до складу рiчної iнформацiї, так як у власностi працiвникiв емiтента вiдсутнi iншi цiннi папери (крiм акцiй) цього емiтента</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II.3.11 Складова змiсту " 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включена до складу рiчної iнформацiї, так як в емiтента вiдсутнi будь-якi обмеження обiгу цiнних паперiв, в тому числi необхiднiсть отримання згоди на вiдчуження вiд iнших власникiв цiнних паперiв.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II.4.2. Складова змiсту " Вiдомостi про змiну акцiонерiв, яким належать голосуючi акцiї, розмiр пакета яких стає бiльшим, меншим або рiвним пороговому значеню пакета акцiй" не включена до складу рiчної iнформацiї, так як в емiтента в звiтному роцi не було змiни таких акцiонерiв.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II.4.3. Складова змiсту " Iнформацiя про змiну осiб, яким належать право голосу за акцiями, сумарна кiлькiсть прав за якими стає бiльшою, меншою або рiвною пороговому значенню пакета акцiй" не включена до складу рiчної iнформацiї, так як в емiтента в звiтному роцi не було змiни таких осiб.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II.4.4.  Складова змiсту " Iнформацiя про змiну осiб, якi є власниками фiнансових iнструментiв, пов'язаних з голосуючими акцiями акцiонерного товариства, сумарна кiльсть прав за якими стає бiльшою, меншою або рiвною пороговому значенню пакету акцiй" не включена до складу рiчної iнформацiї, так як в емiтента в звiтному роцi не було змiни таких осiб.</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III.3. Складова змiсту " Аудиторський звiт до рiчної фiнансової звiтностi" не включена до складу рiчної iнформацiї, так як в звiтному роцi емiтент не проводив аудит рiчної фiнансової звiтностi, у зв'язку з вiдсутнiстю такого обов'язку..</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III.5.1.  Складова змiсту " Iнформацiя про прийняття рiшення про попереднє надання згоди на вчинення значних правочинiв" не включена до складу рiчної iнформацiї.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III.5.2. Складова змiсту ". Iнформацiя про вчинення значних правочинiв" не включена до складу рiчної iнформацiї, так як в звiтному роцi емiтент не вчиняв таких правочинiв.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III.5.3. Складова змiсту " Iнформацiя про вчинення правочинiв, щодо вчинення яких є заiнтерисованiсть" не включена до складу рiчної iнформацiї, так як в звiтному роцi емiтент не вчиняв таких правочинiв. Згiдно вимог пункту 48 положення, приватними акцiонерними товариствами iнформацiя про попереднє надання згоди на вчинення значних правочинiв не розкривається.</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III.6.Складова змiсту " Звiт про платежi на користь держави" не включена до складу рiчної iнформацiї, так як емiтент не складав i не зобов'язаний був складати такий звiт в звiтному роцi.</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IV.1.1.1.1Складова змiсту " Iнформацiя про кодекс копоративного управлiння, яким керується особа" не включена до складу рiчної iнформацiї, так як у емiтента вiдсутнiй кодекс корпоративного управлiння. Вiдповiдно до вимог чинного законодавства України, емiтент не зобов'язаний мати власний кодекс корпоративного управлiння.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IV.1.1.1.5.Складова змiсту " Iнформацiя про практику корпоративного управлiння особи. Рада директорiв" не включена до складу рiчної iнформацiї, так як в емiтента вiдсутня рада директорiв.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IV.1.1.3.Складова змiсту "Iнформацiя про збори власникiв облiгацiй та загальний опис прийнятих на тих зборах рiшень "не включенi до складу рiчної звiтностi, та як жодних цiнних паперiв, крiм акцiй, товариство не випускало.</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IV.1.1.4.3. Складова змiсту " Iнформацiя про проведеннi засiдання комiтетiв ради та загальних опис прийнятих рiшень" не включена до складу рiчної iнформацiї, так як в радi емiтента не створенi комiтети.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IV.1.1.5.3.Складова змiсту " Iнформацiя про проведеннi засiдання комiтетiв колегiального виконавчого органу та загальних опис прийнятих рiшень" не включена до складу рiчної iнформацiї, так як в емiтента вiдсутнi комiтети колегiального виконавчого органу.</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IV.1.1.6..Складова змiсту "Iнформацiя про корпоративного секретаря , а також звiт щодо результатiв його дiяльностi" не включена до складу рiчної iнформацiї, так як у товариствi вiдповiдно вимог чинного законодавства посада корпоративного секретаря не передбачена.</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IV.1.1.7..Складова змiсту "Опис основних характеристик систем внутрiшнього контролю особи, а також перелiк структурних пiдроздiлiв особи, якi здiйснюють ключовi обов'яки щодо забезпечення роботи систем внутрiшнього контролю" не включена до складу рiчної iнформацiї так як у товариствi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затверджувався, рiшення про затвердження декларацiї схильностi до ризикiв не приймалось.</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IV.1.1.9.Складова змiсту " Iнформацiя щодо будь-яких обмежень прав участi та голосування акцiонерiв (учасникi) на загальних зборах особи" не включена до складу рiчної iнформацiї, так як в емiтента вiдсутня iнформацiя щодо будь-яких обмежень прав участi та голосування акцiонерiв на загальних зборах.</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IV.1.1.10.Складова змiсту "Iнформацiя щодо порядку та звiльнення посадових осiб (крiм ради та виконавчого органу) особи", не включена до складу рiчної звiтностi. Згiдно вимог пункту 48 положення, приватними акцiонерними товариствами не розкривається iнформацiя про будь-якi винагороди або компенсацiї, якi мають бути виплаченi посадовим особам у разi їх звiльнення.</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IV.1.1.11.Складова змiсту "Iнформацiя про винагороду членiв виконавчого органу та/або ради особи" не включена до складу рiчної iнформацiї, так як у звiтному роцi емiтент не виплачував винагороду членам виконавчого органу та/або ради.</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IV.1.1.12.Складова змiсту "Iнформацiя про полiтику розкриття iнформацiї особою" не включена до складу рiчної iнформацiї, так як емiтент не затверджував полiтику розкриття iнформацi, iнформацiя розкривається у строки та обсязi встановленi законодавством i не виходить за межi законодавства i не суперечить йому. Внутрiшнього документа, який визначає полiтику щодо розкриття iнформацiї особою на товариствi не  затверджено.</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IV.1.1.13. Складова змiсту "Iнформацiя про радника" не включена до складу рiчної iнформацiї, так як в емiтента вiдсутнi радники..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IV.1.1.14.Складова змiсту "Iнформацiя вiд суб'єкта аудиторської дiяльностi з урахуванням вимог, пердбаченим пунктом 45 цього Положення" не включена до складу рiчної iнформацiї, так як емiтент у звiтному роцi не залучав суб'єкта аудиторської дiяльностi i не проводив аудит фiнансової звiтностi.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IV.1.1.15.Складова змiсту " Iнформацiя, передбачена законодавством про дiяльнiсть та регулювання дiяльностi на ринку фiнансових послуг" не включена до складу рiчної iнформацiї, так як емiтент у звiтному роцi не надавав фiнансовi послуги на ринку.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IV.1.2.Складова змiсту " Звiт про сталий розвиток" не включена до складу рiчної iнформацiї, так як дiяльнiсть емiтента не є такою, що наносить шкоду навколишньому середовищу та якихось спецiальних дiй щодо захисту довкiлля та соцiальної вiдповiдальностi за звiтний перiод емiтент не проводив.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IV.1.3.1. Складова змiсту. "Iнформацiя про наявнiсть в структурi власностi емiтента фiзичних осiб якi мають громадянство iноземної держави зони ризику.  не включена до складу рiчної iнформацiї, так як   у  товариства немає фiзичних осiб якi мають громадянство iноземної держави зони ризику..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IV.1.3.2. Складова змiсту "Iнформацiя щодо наявностi в структурi власностi емiтента фiзичних осiб, постiйним мiсцем проживання яких є iноземнi держави зони ризику" не включена до складу рiчної iнформацiї, так як в емiтента вiдсутня iнформацiя про наявнiсть таких осiб.</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IV.1.3.3. Складова змiсту "Iнформацiя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IV.1.3.4. Складова змiсту "Перелiк засновникiв, учасникiв, що вiдносяться до iнформацiї щодо наявностi в структурi власностi емiтента юридичних осiб, мiсцем реєстрацiї яких є iноземнi держави зони ризику" не включена до складу рiчної iнформацiї, так як в емiтента вiдсутня iнформацiя про наявнiсть таких осiб.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IV.1.3.5. Складова змiсту "Iнформацiя щодо наявностi в органах управлiння емiтента фiзичних осiб зякi мають громадянство  iноземної держави зони ризику, не включена до складу рiчної iнформацiї, так як в емiтента вiдсутня дiловi вiдносини з такими особами.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IV.1.3.6. Складова змiсту.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юридичних осiб" не включена до складу рiчної iнформацiї, так як в емiтента вiдсутня дiловi вiдносини з такими особами.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IV.1.3.7.Складова змiсту " Iнформацiя щодо наявностi у емiтента дiлових вiдносин з клiєнтами/контрагентами держави зони ризику або клiєнтами/контрагентами, якi контролюються державою зони ризику для клiєнтiв/контрагентiв - фiхичних осiб" не включена до складу рiчної iнформацiї, так як в емiтента вiдсутня дiловi вiдносини з такими особами.</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IV.1.3.8.Складова змiсту "Iнформацiя щодо розташування дочiрнiх компанiй/пiдприємств, фiлiй, представництв та/або iнших вiдокремлених структурних пiдроздiлiв емiтента на територiї держави зони ризику" не включена до складу рiчної iнформацiї, так як в емiтента вiдсутнi компанiї/пiдприємства, фiлiї, представництва та/або iнших вiдокремленi структурнi пiдроздiли емiтента на територiї держави зони ризику.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IV.1.3.9.Складова змiсту " Iнформацiя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IV.1.3.10. Складова змiсту " Перелiк засновникiв, акцiонерiв, учасникiв, що вiдносяться до iнформацiї щодо наявностi юридичних осiб, засновником, учасником, акцiонером яких є емiтент разом з особами, визначеними пiдпунктами 1-3 пункту 47 Положення" не включена до складу рiчної iнформацiї, так як емiтент не є засновником, учасником, акцiонером будь-яких юридичних осiб.</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IV.1.3.11.  Складова змiсту " Iнформацiя щодо наявностi у емiтента корпоративних прав в юридичнiй особi, зареєстрованiй в iноземнiй державi зони ризику" не включена до складу рiчної iнформацiї, так як емiтент не має жодних корпоративних прав.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IV.1.3.12. Складова змiсту " Iнформацiя щодо наявностi у емiтента цiнних паперiв (крiм акцiй) юридичної особи, яка зареєстрована в iноземнiй державi зони ризику" не включена до складу рiчної iнформацiї, так як емiтент не має жодних цiнних паперiв в тому числi i акцiй.</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IV.2.1. Складова змiсту " Iнформацiя про корпоративнi/акцiонернi договори, укладенi акцiонерами (учасниками) особи, яка наявна в особи" не включена до складу рiчної iнформацiї, так як в емiтента вiдсутня iнформацiя про такi договори.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IV.2.2.Складова змiсту " Iнформацiя про будь-якi договори та/або правочини, умовою чинностi яких є незмiннiсть осiб, якi здiйснюють контроль над емiтентом" не включена до складу рiчної iнформацiї, так як в емiтента вiдсутня iнформацiя про такi договори та/або правочини.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IV.3.Складова змiсту " Дивiдентна полiтика" не включена до складу рiчної iнформацiї, так як емiтент не розробляб i не затверджував дивiдендну полiтику, виплата дивiдендiв здiйснюється в порядку встановленому законодавством i внутрiшнiми документами i не вiдрiзняється вiд законодавчо прийнятих норм.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IV.4.Складова змiсту " Iнформацiя про виплату дивiдендiв та iнших доходiв за цiнними паперами у звiтному роцi" не включена до складу рiчної iнформацiї, так як емiтент у звiтному роцi дивiдендiв не виплачував.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IV.5.Складова змiсту "Перелiк посилань на внутрiшнi документи особи , що розмiщенi на веб-сайтi особи", не включена до рiчної звiтностi емiтента, так як на веб.сайтi у звiтному роцi не розмiщались.Перелiк посилань на внутрiшнi документи товариства вiдсутнiй, оскiльки приватнi акцiонернi товариства не зобов'язанi розмiщувати таку iнформацiю навласному веб сайтi.</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Роздiл V .Складова змiсту "Роздiл V" не включена до складу рiчної iнформацiї, так як емiтент не випускав iпотечнi облiгацiї, сертифiкати ФОН, якi стосуються цього роздiлу.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Роздiл VII. Складова змiсту " Рiчна фiнансова звiтнiсть поручителя (страховика/гаранта), що здiйснює забезпечення випуску боргових цiнних паперiвi" не включена до складу рiчної iнформацiї, так як емiтент не є поручителем (страховиком/гарантом).Вiдомостi щодо пiдстав виникнення у емiтента iпотечних облiгацiй прав на iпотечнi активи, якi складають iпотечне покриття за станом на кiнець звiтного року</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sectPr w:rsidR="007750A3">
          <w:pgSz w:w="12240" w:h="15840"/>
          <w:pgMar w:top="570" w:right="720" w:bottom="570" w:left="720" w:header="720" w:footer="720" w:gutter="0"/>
          <w:cols w:space="720"/>
          <w:noEndnote/>
        </w:sectPr>
      </w:pPr>
    </w:p>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7750A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товариство"Iршавремверстат"</w:t>
            </w:r>
          </w:p>
        </w:tc>
      </w:tr>
      <w:tr w:rsidR="007750A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"Iршавремверстат"</w:t>
            </w:r>
          </w:p>
        </w:tc>
      </w:tr>
      <w:tr w:rsidR="007750A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00223177</w:t>
            </w:r>
          </w:p>
        </w:tc>
      </w:tr>
      <w:tr w:rsidR="007750A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29.12.1994</w:t>
            </w:r>
          </w:p>
        </w:tc>
      </w:tr>
      <w:tr w:rsidR="007750A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90300, Україна, Закарпатська обл., Iршавський р-н, м.Iршава, Гагарiна,110. Фактичне: 90300, Україна, Закарпатська обл., Iршавський р-н, м.Iршава, Гагарiна,110</w:t>
            </w:r>
          </w:p>
        </w:tc>
      </w:tr>
      <w:tr w:rsidR="007750A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90300,Закарпатська обл.,Iршавський р-н,м.Iршава,вул.Гагарiна,110</w:t>
            </w:r>
          </w:p>
        </w:tc>
      </w:tr>
      <w:tr w:rsidR="007750A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7750A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7750A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7750A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Yurec.3587@gmail.com</w:t>
            </w:r>
          </w:p>
        </w:tc>
      </w:tr>
      <w:tr w:rsidR="007750A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remverstat.pat.ua</w:t>
            </w:r>
          </w:p>
        </w:tc>
      </w:tr>
      <w:tr w:rsidR="007750A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-380954968035</w:t>
            </w:r>
          </w:p>
        </w:tc>
      </w:tr>
      <w:tr w:rsidR="007750A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36865,5</w:t>
            </w:r>
          </w:p>
        </w:tc>
      </w:tr>
      <w:tr w:rsidR="007750A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7750A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7750A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w:t>
            </w:r>
          </w:p>
        </w:tc>
      </w:tr>
      <w:tr w:rsidR="007750A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334</w:t>
            </w:r>
          </w:p>
        </w:tc>
      </w:tr>
      <w:tr w:rsidR="007750A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28.49 - Виробництво iнших верстатiв</w:t>
            </w:r>
          </w:p>
        </w:tc>
      </w:tr>
      <w:tr w:rsidR="007750A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3500"/>
        <w:gridCol w:w="6465"/>
      </w:tblGrid>
      <w:tr w:rsidR="007750A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АТ КБ "ПРИВАТБАНК"</w:t>
            </w:r>
          </w:p>
        </w:tc>
      </w:tr>
      <w:tr w:rsidR="007750A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14360570</w:t>
            </w:r>
          </w:p>
        </w:tc>
      </w:tr>
      <w:tr w:rsidR="007750A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UA673052990000026007043609378</w:t>
            </w:r>
          </w:p>
        </w:tc>
      </w:tr>
      <w:tr w:rsidR="007750A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7750A3" w:rsidRDefault="007750A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1450"/>
        <w:gridCol w:w="4000"/>
        <w:gridCol w:w="4000"/>
      </w:tblGrid>
      <w:tr w:rsidR="007750A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7750A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7750A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згiдно перелiку  власникiв iменних цiнних паперiв.</w:t>
            </w:r>
          </w:p>
        </w:tc>
      </w:tr>
      <w:tr w:rsidR="007750A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члени Наглядової ради</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 Шевчук Анатолiй Анатолiйович</w:t>
            </w:r>
          </w:p>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p>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Шевчук Артур Анатолiйович</w:t>
            </w:r>
          </w:p>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p>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Член Наглядової ради - Шевченко Сергiй Анатолiйович</w:t>
            </w:r>
          </w:p>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p>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p>
        </w:tc>
      </w:tr>
      <w:tr w:rsidR="007750A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w:t>
            </w:r>
          </w:p>
        </w:tc>
        <w:tc>
          <w:tcPr>
            <w:tcW w:w="40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Одноосiбний контролюючий орган</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Ревiзор - Снегiрьова Любов Iванiвна</w:t>
            </w:r>
          </w:p>
        </w:tc>
      </w:tr>
      <w:tr w:rsidR="007750A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45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Одноособовим виконавчим органом Товариства, що здiйснює керiвництво його поточною дiяльнiстю, є Директор</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 Чонка Ганна Iванiвна</w:t>
            </w:r>
          </w:p>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p>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p>
        </w:tc>
      </w:tr>
    </w:tbl>
    <w:p w:rsidR="007750A3" w:rsidRDefault="007750A3">
      <w:pPr>
        <w:widowControl w:val="0"/>
        <w:autoSpaceDE w:val="0"/>
        <w:autoSpaceDN w:val="0"/>
        <w:adjustRightInd w:val="0"/>
        <w:spacing w:after="0" w:line="240" w:lineRule="auto"/>
        <w:rPr>
          <w:rFonts w:ascii="Times New Roman CYR" w:hAnsi="Times New Roman CYR" w:cs="Times New Roman CYR"/>
        </w:rPr>
      </w:pPr>
    </w:p>
    <w:p w:rsidR="007750A3" w:rsidRDefault="007750A3">
      <w:pPr>
        <w:widowControl w:val="0"/>
        <w:autoSpaceDE w:val="0"/>
        <w:autoSpaceDN w:val="0"/>
        <w:adjustRightInd w:val="0"/>
        <w:spacing w:after="0" w:line="240" w:lineRule="auto"/>
        <w:rPr>
          <w:rFonts w:ascii="Times New Roman CYR" w:hAnsi="Times New Roman CYR" w:cs="Times New Roman CYR"/>
        </w:rPr>
        <w:sectPr w:rsidR="007750A3">
          <w:pgSz w:w="12240" w:h="15840"/>
          <w:pgMar w:top="570" w:right="720" w:bottom="570" w:left="720" w:header="720" w:footer="720" w:gutter="0"/>
          <w:cols w:space="720"/>
          <w:noEndnote/>
        </w:sectPr>
      </w:pP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7750A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7750A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7750A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Шевчук Анатолiй Анатолiйович</w:t>
            </w:r>
          </w:p>
        </w:tc>
        <w:tc>
          <w:tcPr>
            <w:tcW w:w="1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1971</w:t>
            </w:r>
          </w:p>
        </w:tc>
        <w:tc>
          <w:tcPr>
            <w:tcW w:w="1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w:t>
            </w:r>
          </w:p>
        </w:tc>
        <w:tc>
          <w:tcPr>
            <w:tcW w:w="3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00223177</w:t>
            </w:r>
          </w:p>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27.04.2017</w:t>
            </w:r>
          </w:p>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7750A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Шевченко Сергiй Анатолiйович</w:t>
            </w:r>
          </w:p>
        </w:tc>
        <w:tc>
          <w:tcPr>
            <w:tcW w:w="1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1971</w:t>
            </w:r>
          </w:p>
        </w:tc>
        <w:tc>
          <w:tcPr>
            <w:tcW w:w="1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32</w:t>
            </w:r>
          </w:p>
        </w:tc>
        <w:tc>
          <w:tcPr>
            <w:tcW w:w="3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 ПрАТ&gt; Софiя- цiннi папери&gt;</w:t>
            </w:r>
          </w:p>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14281801</w:t>
            </w:r>
          </w:p>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 ПрАТ&gt; Софiя- цiннi папери&gt;</w:t>
            </w:r>
          </w:p>
        </w:tc>
        <w:tc>
          <w:tcPr>
            <w:tcW w:w="14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27.04.2017</w:t>
            </w:r>
          </w:p>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r w:rsidR="007750A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Шевчук Артур Анатолiйович</w:t>
            </w:r>
          </w:p>
        </w:tc>
        <w:tc>
          <w:tcPr>
            <w:tcW w:w="1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1996</w:t>
            </w:r>
          </w:p>
        </w:tc>
        <w:tc>
          <w:tcPr>
            <w:tcW w:w="1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3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ДП ЛПП Україна</w:t>
            </w:r>
          </w:p>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00223177</w:t>
            </w:r>
          </w:p>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фахiвець з розвитку мережi  магазинiв, член Наглядової ради</w:t>
            </w:r>
          </w:p>
        </w:tc>
        <w:tc>
          <w:tcPr>
            <w:tcW w:w="14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27.04.2017</w:t>
            </w:r>
          </w:p>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7750A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7750A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7750A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Чонка Ганна Iванiвна</w:t>
            </w:r>
          </w:p>
        </w:tc>
        <w:tc>
          <w:tcPr>
            <w:tcW w:w="1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1962</w:t>
            </w:r>
          </w:p>
        </w:tc>
        <w:tc>
          <w:tcPr>
            <w:tcW w:w="1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середня-спецiальна</w:t>
            </w:r>
          </w:p>
        </w:tc>
        <w:tc>
          <w:tcPr>
            <w:tcW w:w="9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37</w:t>
            </w:r>
          </w:p>
        </w:tc>
        <w:tc>
          <w:tcPr>
            <w:tcW w:w="3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ВАТ "Iршавремверстат"</w:t>
            </w:r>
          </w:p>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00223177</w:t>
            </w:r>
          </w:p>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Заступник головного бухгалтера, головний бухгалтер,Директор</w:t>
            </w:r>
          </w:p>
        </w:tc>
        <w:tc>
          <w:tcPr>
            <w:tcW w:w="14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25.07.2018</w:t>
            </w:r>
          </w:p>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 рокiв</w:t>
            </w:r>
          </w:p>
        </w:tc>
        <w:tc>
          <w:tcPr>
            <w:tcW w:w="1400"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Інші посадові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050"/>
        <w:gridCol w:w="2100"/>
        <w:gridCol w:w="1100"/>
        <w:gridCol w:w="800"/>
        <w:gridCol w:w="1000"/>
        <w:gridCol w:w="1000"/>
        <w:gridCol w:w="900"/>
        <w:gridCol w:w="3100"/>
        <w:gridCol w:w="1400"/>
        <w:gridCol w:w="1400"/>
      </w:tblGrid>
      <w:tr w:rsidR="007750A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3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r>
      <w:tr w:rsidR="007750A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3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r>
      <w:tr w:rsidR="007750A3">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Ревiзор</w:t>
            </w:r>
          </w:p>
        </w:tc>
        <w:tc>
          <w:tcPr>
            <w:tcW w:w="2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Снегiрьова Любов Iванiвна</w:t>
            </w:r>
          </w:p>
        </w:tc>
        <w:tc>
          <w:tcPr>
            <w:tcW w:w="1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1989</w:t>
            </w:r>
          </w:p>
        </w:tc>
        <w:tc>
          <w:tcPr>
            <w:tcW w:w="1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16</w:t>
            </w:r>
          </w:p>
        </w:tc>
        <w:tc>
          <w:tcPr>
            <w:tcW w:w="3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"Iршавремверстат"</w:t>
            </w:r>
          </w:p>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00223177</w:t>
            </w:r>
          </w:p>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нач. ВМТП i Збуту</w:t>
            </w:r>
          </w:p>
        </w:tc>
        <w:tc>
          <w:tcPr>
            <w:tcW w:w="14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27.04.2017</w:t>
            </w:r>
          </w:p>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r>
    </w:tbl>
    <w:p w:rsidR="007750A3" w:rsidRDefault="007750A3">
      <w:pPr>
        <w:widowControl w:val="0"/>
        <w:autoSpaceDE w:val="0"/>
        <w:autoSpaceDN w:val="0"/>
        <w:adjustRightInd w:val="0"/>
        <w:spacing w:after="0" w:line="240" w:lineRule="auto"/>
        <w:rPr>
          <w:rFonts w:ascii="Times New Roman CYR" w:hAnsi="Times New Roman CYR" w:cs="Times New Roman CYR"/>
          <w:sz w:val="20"/>
          <w:szCs w:val="20"/>
        </w:rPr>
      </w:pP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50"/>
        <w:gridCol w:w="2450"/>
        <w:gridCol w:w="2500"/>
        <w:gridCol w:w="1625"/>
        <w:gridCol w:w="1625"/>
        <w:gridCol w:w="1625"/>
        <w:gridCol w:w="1625"/>
        <w:gridCol w:w="1700"/>
        <w:gridCol w:w="1700"/>
      </w:tblGrid>
      <w:tr w:rsidR="007750A3">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7750A3">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7750A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7750A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Чонка Ганна Iванiвна</w:t>
            </w:r>
          </w:p>
        </w:tc>
        <w:tc>
          <w:tcPr>
            <w:tcW w:w="1625"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750A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Шевчук Анатолiй Анатолiйович</w:t>
            </w:r>
          </w:p>
        </w:tc>
        <w:tc>
          <w:tcPr>
            <w:tcW w:w="1625"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2 070 890</w:t>
            </w:r>
          </w:p>
        </w:tc>
        <w:tc>
          <w:tcPr>
            <w:tcW w:w="1625"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56,17</w:t>
            </w:r>
          </w:p>
        </w:tc>
        <w:tc>
          <w:tcPr>
            <w:tcW w:w="17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2 070 890</w:t>
            </w:r>
          </w:p>
        </w:tc>
        <w:tc>
          <w:tcPr>
            <w:tcW w:w="1700"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750A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Шевченко Сергiй Анатолiйович</w:t>
            </w:r>
          </w:p>
        </w:tc>
        <w:tc>
          <w:tcPr>
            <w:tcW w:w="1625"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750A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Шевчук Артур Анатолiйович</w:t>
            </w:r>
          </w:p>
        </w:tc>
        <w:tc>
          <w:tcPr>
            <w:tcW w:w="1625"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7750A3">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Ревiзор</w:t>
            </w:r>
          </w:p>
        </w:tc>
        <w:tc>
          <w:tcPr>
            <w:tcW w:w="2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Снегiрьова Любов Iванiвна</w:t>
            </w:r>
          </w:p>
        </w:tc>
        <w:tc>
          <w:tcPr>
            <w:tcW w:w="1625"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7750A3" w:rsidRDefault="007750A3">
      <w:pPr>
        <w:widowControl w:val="0"/>
        <w:autoSpaceDE w:val="0"/>
        <w:autoSpaceDN w:val="0"/>
        <w:adjustRightInd w:val="0"/>
        <w:spacing w:after="0" w:line="240" w:lineRule="auto"/>
        <w:rPr>
          <w:rFonts w:ascii="Times New Roman CYR" w:hAnsi="Times New Roman CYR" w:cs="Times New Roman CYR"/>
          <w:sz w:val="20"/>
          <w:szCs w:val="20"/>
        </w:rPr>
      </w:pPr>
    </w:p>
    <w:p w:rsidR="007750A3" w:rsidRDefault="007750A3">
      <w:pPr>
        <w:widowControl w:val="0"/>
        <w:autoSpaceDE w:val="0"/>
        <w:autoSpaceDN w:val="0"/>
        <w:adjustRightInd w:val="0"/>
        <w:spacing w:after="0" w:line="240" w:lineRule="auto"/>
        <w:rPr>
          <w:rFonts w:ascii="Times New Roman CYR" w:hAnsi="Times New Roman CYR" w:cs="Times New Roman CYR"/>
          <w:sz w:val="20"/>
          <w:szCs w:val="20"/>
        </w:rPr>
        <w:sectPr w:rsidR="007750A3">
          <w:pgSz w:w="16837" w:h="11905" w:orient="landscape"/>
          <w:pgMar w:top="570" w:right="720" w:bottom="570" w:left="720" w:header="720" w:footer="720" w:gutter="0"/>
          <w:cols w:space="720"/>
          <w:noEndnote/>
        </w:sectPr>
      </w:pPr>
    </w:p>
    <w:p w:rsidR="007750A3" w:rsidRDefault="007750A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lastRenderedPageBreak/>
        <w:t>4. Опис господарської та фінансової діяльності</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"Iршавремверстат" проводить ремонт металорiзальних та плоскошлiфувальних верстатiв всiх моделей, виготовляє запаснi частини до рiзних деревообробних верстатiв. Спецiалiзується на виготовлення запасних частин для лiсопильних рам моделей Р-63., 2Р75-1,2, РК-1. Виготовляє запаснi частини до строгального  верстата ДС-7. З товарiв народного споживання пiдприємство виготовляє садо-огороднiй iнвентар: сiкатор СО-3, мотика, топорик, граблi; будiвельний iнструмент: виски будiвельнi рiзних типорозмiрiв вiд 100грам до 1000 гр. шпателя ШП ШП-95, ШП-250, ковшi штукатурнi К-0,8, лопатки, кельми, телiжки, торговi контейнери</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Проте, iз-за вiдсутностi обiгових коштiв, iнвестицiй, пiдприємство основними видами дiяльностi не займається.. Перспективи подальшого розвитку емiтента в цiлому залежать вiд загального економiчного стану країни, полiпшення платоспроможностi як громадян так i пiдприємств, тому на даний час керiвництво не має змоги прогнозувати вiрогiднi перспективи подальшого розвитку Товариства бiльш, нiж на 12 мiсяцiв вiд звiтної дати.</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058"/>
        <w:gridCol w:w="1260"/>
        <w:gridCol w:w="1080"/>
        <w:gridCol w:w="1260"/>
        <w:gridCol w:w="1080"/>
        <w:gridCol w:w="1260"/>
        <w:gridCol w:w="1082"/>
      </w:tblGrid>
      <w:tr w:rsidR="007750A3">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7750A3">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7750A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706,7</w:t>
            </w:r>
          </w:p>
        </w:tc>
        <w:tc>
          <w:tcPr>
            <w:tcW w:w="10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698,8</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706,7</w:t>
            </w:r>
          </w:p>
        </w:tc>
        <w:tc>
          <w:tcPr>
            <w:tcW w:w="1082"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698,8</w:t>
            </w:r>
          </w:p>
        </w:tc>
      </w:tr>
      <w:tr w:rsidR="007750A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681,7</w:t>
            </w:r>
          </w:p>
        </w:tc>
        <w:tc>
          <w:tcPr>
            <w:tcW w:w="10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675,8</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681,7</w:t>
            </w:r>
          </w:p>
        </w:tc>
        <w:tc>
          <w:tcPr>
            <w:tcW w:w="1082"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675,8</w:t>
            </w:r>
          </w:p>
        </w:tc>
      </w:tr>
      <w:tr w:rsidR="007750A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c>
          <w:tcPr>
            <w:tcW w:w="10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c>
          <w:tcPr>
            <w:tcW w:w="1082"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w:t>
            </w:r>
          </w:p>
        </w:tc>
      </w:tr>
      <w:tr w:rsidR="007750A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706,7</w:t>
            </w:r>
          </w:p>
        </w:tc>
        <w:tc>
          <w:tcPr>
            <w:tcW w:w="10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698,8</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706,7</w:t>
            </w:r>
          </w:p>
        </w:tc>
        <w:tc>
          <w:tcPr>
            <w:tcW w:w="1082"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698,8</w:t>
            </w:r>
          </w:p>
        </w:tc>
      </w:tr>
      <w:tr w:rsidR="007750A3">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Процент зносу по групам виробничого призначення: будiвлi та споруди - 75,8%, машини та обладнання - 90,0 %. Всi основнi засоби власнi, орендованих немає, Обмежень при використаннi основних засобiв немає.</w:t>
            </w:r>
          </w:p>
        </w:tc>
      </w:tr>
    </w:tbl>
    <w:p w:rsidR="007750A3" w:rsidRDefault="007750A3">
      <w:pPr>
        <w:widowControl w:val="0"/>
        <w:autoSpaceDE w:val="0"/>
        <w:autoSpaceDN w:val="0"/>
        <w:adjustRightInd w:val="0"/>
        <w:spacing w:after="0" w:line="240" w:lineRule="auto"/>
        <w:rPr>
          <w:rFonts w:ascii="Times New Roman CYR" w:hAnsi="Times New Roman CYR" w:cs="Times New Roman CYR"/>
        </w:rPr>
      </w:pPr>
    </w:p>
    <w:p w:rsidR="007750A3" w:rsidRDefault="007750A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60"/>
        <w:gridCol w:w="2740"/>
        <w:gridCol w:w="3000"/>
        <w:gridCol w:w="3000"/>
      </w:tblGrid>
      <w:tr w:rsidR="007750A3">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7750A3">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68,7</w:t>
            </w:r>
          </w:p>
        </w:tc>
        <w:tc>
          <w:tcPr>
            <w:tcW w:w="3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68,7</w:t>
            </w:r>
          </w:p>
        </w:tc>
      </w:tr>
      <w:tr w:rsidR="007750A3">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c>
          <w:tcPr>
            <w:tcW w:w="3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r>
      <w:tr w:rsidR="007750A3">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c>
          <w:tcPr>
            <w:tcW w:w="3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r>
      <w:tr w:rsidR="007750A3">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185,7</w:t>
            </w:r>
          </w:p>
        </w:tc>
        <w:tc>
          <w:tcPr>
            <w:tcW w:w="3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185,7</w:t>
            </w:r>
          </w:p>
        </w:tc>
      </w:tr>
      <w:tr w:rsidR="007750A3">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Співвідношення (у відсотках) вартості </w:t>
            </w:r>
            <w:r>
              <w:rPr>
                <w:rFonts w:ascii="Times New Roman CYR" w:hAnsi="Times New Roman CYR" w:cs="Times New Roman CYR"/>
              </w:rPr>
              <w:lastRenderedPageBreak/>
              <w:t>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100</w:t>
            </w:r>
          </w:p>
        </w:tc>
        <w:tc>
          <w:tcPr>
            <w:tcW w:w="3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7750A3">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Висновок</w:t>
            </w:r>
          </w:p>
        </w:tc>
        <w:tc>
          <w:tcPr>
            <w:tcW w:w="8740" w:type="dxa"/>
            <w:gridSpan w:val="3"/>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Вимоги частини третьої статтi 155 Цивiльного кодексу України дотриманi. Зменшення статутного капiталу не вимагається.</w:t>
            </w:r>
          </w:p>
        </w:tc>
      </w:tr>
    </w:tbl>
    <w:p w:rsidR="007750A3" w:rsidRDefault="007750A3">
      <w:pPr>
        <w:widowControl w:val="0"/>
        <w:autoSpaceDE w:val="0"/>
        <w:autoSpaceDN w:val="0"/>
        <w:adjustRightInd w:val="0"/>
        <w:spacing w:after="0" w:line="240" w:lineRule="auto"/>
        <w:rPr>
          <w:rFonts w:ascii="Times New Roman CYR" w:hAnsi="Times New Roman CYR" w:cs="Times New Roman CYR"/>
        </w:rPr>
      </w:pPr>
    </w:p>
    <w:p w:rsidR="007750A3" w:rsidRDefault="007750A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780"/>
        <w:gridCol w:w="1440"/>
        <w:gridCol w:w="1480"/>
        <w:gridCol w:w="1940"/>
        <w:gridCol w:w="1328"/>
      </w:tblGrid>
      <w:tr w:rsidR="007750A3">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7750A3">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750A3">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p>
        </w:tc>
      </w:tr>
      <w:tr w:rsidR="007750A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750A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p>
        </w:tc>
      </w:tr>
      <w:tr w:rsidR="007750A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750A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750A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750A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750A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750A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750A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94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750A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750A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682,3</w:t>
            </w:r>
          </w:p>
        </w:tc>
        <w:tc>
          <w:tcPr>
            <w:tcW w:w="194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7750A3">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684,3</w:t>
            </w:r>
          </w:p>
        </w:tc>
        <w:tc>
          <w:tcPr>
            <w:tcW w:w="194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7750A3" w:rsidRDefault="007750A3">
      <w:pPr>
        <w:widowControl w:val="0"/>
        <w:autoSpaceDE w:val="0"/>
        <w:autoSpaceDN w:val="0"/>
        <w:adjustRightInd w:val="0"/>
        <w:spacing w:after="0" w:line="240" w:lineRule="auto"/>
        <w:rPr>
          <w:rFonts w:ascii="Times New Roman CYR" w:hAnsi="Times New Roman CYR" w:cs="Times New Roman CYR"/>
        </w:rPr>
      </w:pPr>
    </w:p>
    <w:p w:rsidR="007750A3" w:rsidRDefault="007750A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ПАТ"Нацiональний депозитарiй України"</w:t>
            </w: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Україна, м.Київ, Тропiнiна,7-Г</w:t>
            </w: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АВ №189650</w:t>
            </w: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Центрального депозитарiю</w:t>
            </w:r>
          </w:p>
        </w:tc>
      </w:tr>
    </w:tbl>
    <w:p w:rsidR="007750A3" w:rsidRDefault="007750A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 "БАЛТIК ФIНАНС ГРУП"</w:t>
            </w: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РНОКПП</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36797165</w:t>
            </w: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79035, Україна, Львівська обл., м.Львiв, Зелена,131</w:t>
            </w: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№263312</w:t>
            </w: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09.12.2013</w:t>
            </w: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+380-32-295-70-57</w:t>
            </w: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7750A3" w:rsidRDefault="007750A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6000"/>
        <w:gridCol w:w="4000"/>
      </w:tblGrid>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Державне підприємство</w:t>
            </w: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м.Київ, Антоновича, 51, оф. 1206</w:t>
            </w: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7750A3">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7750A3" w:rsidRDefault="007750A3">
      <w:pPr>
        <w:widowControl w:val="0"/>
        <w:autoSpaceDE w:val="0"/>
        <w:autoSpaceDN w:val="0"/>
        <w:adjustRightInd w:val="0"/>
        <w:spacing w:after="0" w:line="240" w:lineRule="auto"/>
        <w:rPr>
          <w:rFonts w:ascii="Times New Roman CYR" w:hAnsi="Times New Roman CYR" w:cs="Times New Roman CYR"/>
        </w:rPr>
      </w:pPr>
    </w:p>
    <w:p w:rsidR="007750A3" w:rsidRDefault="007750A3">
      <w:pPr>
        <w:widowControl w:val="0"/>
        <w:autoSpaceDE w:val="0"/>
        <w:autoSpaceDN w:val="0"/>
        <w:adjustRightInd w:val="0"/>
        <w:spacing w:after="0" w:line="240" w:lineRule="auto"/>
        <w:rPr>
          <w:rFonts w:ascii="Times New Roman CYR" w:hAnsi="Times New Roman CYR" w:cs="Times New Roman CYR"/>
        </w:rPr>
      </w:pPr>
    </w:p>
    <w:p w:rsidR="007750A3" w:rsidRDefault="007750A3">
      <w:pPr>
        <w:widowControl w:val="0"/>
        <w:autoSpaceDE w:val="0"/>
        <w:autoSpaceDN w:val="0"/>
        <w:adjustRightInd w:val="0"/>
        <w:spacing w:after="0" w:line="240" w:lineRule="auto"/>
        <w:rPr>
          <w:rFonts w:ascii="Times New Roman CYR" w:hAnsi="Times New Roman CYR" w:cs="Times New Roman CYR"/>
        </w:rPr>
        <w:sectPr w:rsidR="007750A3">
          <w:pgSz w:w="12240" w:h="15840"/>
          <w:pgMar w:top="570" w:right="720" w:bottom="570" w:left="720" w:header="720" w:footer="720" w:gutter="0"/>
          <w:cols w:space="720"/>
          <w:noEndnote/>
        </w:sectPr>
      </w:pPr>
    </w:p>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00"/>
        <w:gridCol w:w="2000"/>
        <w:gridCol w:w="2000"/>
        <w:gridCol w:w="2000"/>
        <w:gridCol w:w="1900"/>
        <w:gridCol w:w="2000"/>
        <w:gridCol w:w="2000"/>
        <w:gridCol w:w="3000"/>
      </w:tblGrid>
      <w:tr w:rsidR="007750A3">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7750A3">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7750A3">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простi iменнi</w:t>
            </w:r>
          </w:p>
        </w:tc>
        <w:tc>
          <w:tcPr>
            <w:tcW w:w="20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21/07/1/11</w:t>
            </w:r>
          </w:p>
        </w:tc>
        <w:tc>
          <w:tcPr>
            <w:tcW w:w="20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3 686 550</w:t>
            </w:r>
          </w:p>
        </w:tc>
        <w:tc>
          <w:tcPr>
            <w:tcW w:w="19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w:t>
            </w:r>
          </w:p>
        </w:tc>
        <w:tc>
          <w:tcPr>
            <w:tcW w:w="20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i обов"язки визначенi Статутом Товариства  чинним законодавством</w:t>
            </w:r>
          </w:p>
        </w:tc>
        <w:tc>
          <w:tcPr>
            <w:tcW w:w="20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Протягом звiтного року цiннi папери емiтента на органiзовано оформлених та зовнiшнiх ринках не розмiщувалис ь. Заяви про внесення до лiстингiв не подавались.</w:t>
            </w:r>
          </w:p>
        </w:tc>
        <w:tc>
          <w:tcPr>
            <w:tcW w:w="30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Емiтент не є ТОВ</w:t>
            </w:r>
          </w:p>
        </w:tc>
      </w:tr>
    </w:tbl>
    <w:p w:rsidR="007750A3" w:rsidRDefault="007750A3">
      <w:pPr>
        <w:widowControl w:val="0"/>
        <w:autoSpaceDE w:val="0"/>
        <w:autoSpaceDN w:val="0"/>
        <w:adjustRightInd w:val="0"/>
        <w:spacing w:after="0" w:line="240" w:lineRule="auto"/>
        <w:rPr>
          <w:rFonts w:ascii="Times New Roman CYR" w:hAnsi="Times New Roman CYR" w:cs="Times New Roman CYR"/>
        </w:rPr>
      </w:pP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250"/>
        <w:gridCol w:w="1350"/>
        <w:gridCol w:w="2400"/>
        <w:gridCol w:w="1700"/>
        <w:gridCol w:w="1600"/>
        <w:gridCol w:w="1350"/>
        <w:gridCol w:w="1450"/>
        <w:gridCol w:w="1200"/>
        <w:gridCol w:w="1400"/>
        <w:gridCol w:w="1700"/>
      </w:tblGrid>
      <w:tr w:rsidR="007750A3">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7750A3">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7750A3">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11.05.2011</w:t>
            </w:r>
          </w:p>
        </w:tc>
        <w:tc>
          <w:tcPr>
            <w:tcW w:w="135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21/07/1/11</w:t>
            </w:r>
          </w:p>
        </w:tc>
        <w:tc>
          <w:tcPr>
            <w:tcW w:w="24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ЗТУ ДКЦПФР</w:t>
            </w:r>
          </w:p>
        </w:tc>
        <w:tc>
          <w:tcPr>
            <w:tcW w:w="17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UA0700311006</w:t>
            </w:r>
          </w:p>
        </w:tc>
        <w:tc>
          <w:tcPr>
            <w:tcW w:w="16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0,01</w:t>
            </w:r>
          </w:p>
        </w:tc>
        <w:tc>
          <w:tcPr>
            <w:tcW w:w="12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3 686 550</w:t>
            </w:r>
          </w:p>
        </w:tc>
        <w:tc>
          <w:tcPr>
            <w:tcW w:w="14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36 865,5</w:t>
            </w:r>
          </w:p>
        </w:tc>
        <w:tc>
          <w:tcPr>
            <w:tcW w:w="17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7750A3">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звiтний перiод торгiвля цiнними паперами емiтента не проводились. У лiстiнг фондових бiрж ЦП не включенi. Послугами рейтингового агенства Товариство не користується. Викуп власних акцiй емiтентом не здiйснювався. Акцiї простi на пред"явника,привiлейованi iменнi та привiлейованi на пред"явника не випускались та не реєструвались.</w:t>
            </w:r>
          </w:p>
        </w:tc>
      </w:tr>
    </w:tbl>
    <w:p w:rsidR="007750A3" w:rsidRDefault="007750A3">
      <w:pPr>
        <w:widowControl w:val="0"/>
        <w:autoSpaceDE w:val="0"/>
        <w:autoSpaceDN w:val="0"/>
        <w:adjustRightInd w:val="0"/>
        <w:spacing w:after="0" w:line="240" w:lineRule="auto"/>
        <w:rPr>
          <w:rFonts w:ascii="Times New Roman CYR" w:hAnsi="Times New Roman CYR" w:cs="Times New Roman CYR"/>
        </w:rPr>
      </w:pP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1500"/>
        <w:gridCol w:w="2000"/>
        <w:gridCol w:w="2000"/>
        <w:gridCol w:w="2000"/>
        <w:gridCol w:w="2100"/>
        <w:gridCol w:w="1500"/>
        <w:gridCol w:w="1500"/>
        <w:gridCol w:w="2800"/>
      </w:tblGrid>
      <w:tr w:rsidR="007750A3">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Загальна кількість голосуючих </w:t>
            </w:r>
            <w:r>
              <w:rPr>
                <w:rFonts w:ascii="Times New Roman CYR" w:hAnsi="Times New Roman CYR" w:cs="Times New Roman CYR"/>
              </w:rPr>
              <w:lastRenderedPageBreak/>
              <w:t>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Кількість голосуючих акцій, права </w:t>
            </w:r>
            <w:r>
              <w:rPr>
                <w:rFonts w:ascii="Times New Roman CYR" w:hAnsi="Times New Roman CYR" w:cs="Times New Roman CYR"/>
              </w:rPr>
              <w:lastRenderedPageBreak/>
              <w:t>голосу за якими обмежено, шт.</w:t>
            </w:r>
          </w:p>
        </w:tc>
        <w:tc>
          <w:tcPr>
            <w:tcW w:w="2800"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Кількість голосуючих акцій, права голосу за якими за результатами </w:t>
            </w:r>
            <w:r>
              <w:rPr>
                <w:rFonts w:ascii="Times New Roman CYR" w:hAnsi="Times New Roman CYR" w:cs="Times New Roman CYR"/>
              </w:rPr>
              <w:lastRenderedPageBreak/>
              <w:t>обмеження таких прав передано іншій особі, шт.</w:t>
            </w:r>
          </w:p>
        </w:tc>
      </w:tr>
      <w:tr w:rsidR="007750A3">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2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7750A3">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11.05.2011</w:t>
            </w:r>
          </w:p>
        </w:tc>
        <w:tc>
          <w:tcPr>
            <w:tcW w:w="20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21/07/7/11</w:t>
            </w:r>
          </w:p>
        </w:tc>
        <w:tc>
          <w:tcPr>
            <w:tcW w:w="20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UA0700311006</w:t>
            </w:r>
          </w:p>
        </w:tc>
        <w:tc>
          <w:tcPr>
            <w:tcW w:w="20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3 686 550</w:t>
            </w:r>
          </w:p>
        </w:tc>
        <w:tc>
          <w:tcPr>
            <w:tcW w:w="21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36 865,5</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2 829 125</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857 425</w:t>
            </w:r>
          </w:p>
        </w:tc>
        <w:tc>
          <w:tcPr>
            <w:tcW w:w="28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Акцiонери товариства, якi не уклали  договiр з депозитарною установою  на обслуговування рахунку власних цiнних паперiв не мають права голосу на загальних зборах Товариства, iнших обмежень немає.</w:t>
            </w:r>
          </w:p>
        </w:tc>
      </w:tr>
    </w:tbl>
    <w:p w:rsidR="007750A3" w:rsidRDefault="007750A3">
      <w:pPr>
        <w:widowControl w:val="0"/>
        <w:autoSpaceDE w:val="0"/>
        <w:autoSpaceDN w:val="0"/>
        <w:adjustRightInd w:val="0"/>
        <w:spacing w:after="0" w:line="240" w:lineRule="auto"/>
        <w:rPr>
          <w:rFonts w:ascii="Times New Roman CYR" w:hAnsi="Times New Roman CYR" w:cs="Times New Roman CYR"/>
        </w:rPr>
      </w:pPr>
    </w:p>
    <w:p w:rsidR="007750A3" w:rsidRDefault="007750A3">
      <w:pPr>
        <w:widowControl w:val="0"/>
        <w:autoSpaceDE w:val="0"/>
        <w:autoSpaceDN w:val="0"/>
        <w:adjustRightInd w:val="0"/>
        <w:spacing w:after="0" w:line="240" w:lineRule="auto"/>
        <w:rPr>
          <w:rFonts w:ascii="Times New Roman CYR" w:hAnsi="Times New Roman CYR" w:cs="Times New Roman CYR"/>
        </w:rPr>
        <w:sectPr w:rsidR="007750A3">
          <w:pgSz w:w="16837" w:h="11905" w:orient="landscape"/>
          <w:pgMar w:top="570" w:right="720" w:bottom="570" w:left="720" w:header="720" w:footer="720" w:gutter="0"/>
          <w:cols w:space="720"/>
          <w:noEndnote/>
        </w:sectPr>
      </w:pPr>
    </w:p>
    <w:p w:rsidR="007750A3" w:rsidRDefault="007750A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7750A3" w:rsidRDefault="007750A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Керiвництво ПрАТ "Iршавремверстат" вiд iменi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i юридичних осiб, якi перебувають пiд його контролем, у рамках консолiдованої фiнансової звiтностi, а також про те, що звiт керiвництва включає достовiрне та об'єктивне подання iнформацiї про розвиток i здiйснення господарської дiяльностi i стан емiтента i юридичних осiб, якi перебувають пiд його контролем, у рамках консолiдованої звiтностi, разом з описом основних ризикiв та невизначеностей, з якими вони стикаються у своїй господарськiй дiяльностi. Вiд iменi керiвництва - Директор Чонка Г.I..</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Приватне акцiонерне товариство "Iршавремверстат" є юридичною особою iз новим найменуванням, у результатi проведення державної реєстрацiї змiн до Статуту, що пов'язанi зi змiною типу Товариства у вiдповiдностi  до Закону України &lt;Про акцiонернi товариства&gt; № 514-VI вiд 17 вересня 2008 року.  Товариство засноване згiдно з Установчим договором про створення вiдкритого акцiонерного товариства "Iршавремверстат" вiд 29.12.1994 р.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"Iршавремверстат" проводить ремонт металорiзальних та плоскошлiфувальних верстатiв всiх моделей, виготовляє запаснi частини до рiзних деревообробних верстатiв. Спецiалiзується на виготовлення запасних частин для лiсопильних рам моделей Р-63., 2Р75-1,2, РК-1. Виготовляє запаснi частини до строгального  верстата ДС-7. З товарiв народного споживання пiдприємство виготовляє садо-огороднiй iнвентар: сiкатор СО-3, мотика, топорик, граблi; будiвельний iнструмент: виски будiвельнi рiзних типорозмiрiв вiд 100грам до 1000 гр. шпателя ШП ШП-95, ШП-250, ковшi штукатурнi К-0,8, лопатки, кельми, телiжки, торговi контейнери</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Проте, iз-за вiдсутностi обiгових коштiв, iнвестицiй, пiдприємство основними видами дiяльностi не займається.. Перспективи подальшого розвитку емiтента в цiлому залежать вiд загального економiчного стану країни, полiпшення платоспроможностi як громадян так i пiдприємств, тому на даний час керiвництво не має змоги прогнозувати вiрогiднi перспективи подальшого розвитку Товариства бiльш, нiж на 12 мiсяцiв вiд звiтної дати.</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Укладення деривативiв або вчинення правочинiв щодо похiдних цiнних паперiв емiтентом,-за звiтний перiод не здiйснювалося.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 зв'язку з непередбачуванiстю та неефективнiстю фiнансового ринку України, загальна програма </w:t>
      </w:r>
      <w:r>
        <w:rPr>
          <w:rFonts w:ascii="Times New Roman CYR" w:hAnsi="Times New Roman CYR" w:cs="Times New Roman CYR"/>
          <w:sz w:val="24"/>
          <w:szCs w:val="24"/>
        </w:rPr>
        <w:lastRenderedPageBreak/>
        <w:t>управлiнського персоналу щодо управлiння фiнансовими ризиками зосереджена i спрямована на зменшення їх потенцiйного негативного впливу на фiнансовий стан Товариства. Операцiї хеджування Товариством у звiтному перiодi не застосовувались.</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Фiнансовi iнструменти Товариства включають грошовi кошти та їх еквiваленти, торгову та iншу дебiторську заборгованiсть, торгову та iншу кредиторську заборгованiсть. Товариство не використовує похiднi фiнансовi iнструменти в своїй операцiйнiй дiяльностi   </w:t>
      </w:r>
    </w:p>
    <w:p w:rsidR="007750A3" w:rsidRDefault="007750A3">
      <w:pPr>
        <w:widowControl w:val="0"/>
        <w:autoSpaceDE w:val="0"/>
        <w:autoSpaceDN w:val="0"/>
        <w:adjustRightInd w:val="0"/>
        <w:spacing w:after="0" w:line="240" w:lineRule="auto"/>
        <w:jc w:val="both"/>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практику корпоративного управління особи, застосовувану понад визначені законодавством вимоги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4000"/>
        <w:gridCol w:w="1500"/>
        <w:gridCol w:w="4500"/>
      </w:tblGrid>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7750A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Метою дiяльностi Товариства є одержання прибутку для задоволення соцiально-економiчних потреб акцiонерiв та трудового колективу Товариства,</w:t>
            </w:r>
          </w:p>
        </w:tc>
      </w:tr>
      <w:tr w:rsidR="007750A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Кожною простою iменною (голосуючою) акцiєю Товариства її власнику - Акцiонеру надається однакова сукупнiсть прав, включаючи права на: - участь в управлiннi Товариством; - отримання дивiдендiв; - отримання, у разi лiквiдацiї Товариства, частини майна або вартостi частини майна Товариства; - отримання iнформацiї про господарську дiяльнiсть Товариства в порядку, передбаченому чинним законодавством та цим Статутом. Вiдхилень вiд норм корпоративного управлiння, що викладенi в Статутi Товариства та  внутрiшнiх положень не вiдбувалось.</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Кожною простою iменною (голосуючою) акцiєю Товариства її власнику - Акцiонеру надається однакова сукупнiсть прав, включаючи права на: - участь в управлiннi Товариством; - отримання дивiдендiв; - отримання, у разi лiквiдацiї Товариства, частини майна або вартостi частини майна Товариства; - отримання iнформацiї про господарську дiяльнiсть Товариства в порядку, </w:t>
            </w:r>
            <w:r>
              <w:rPr>
                <w:rFonts w:ascii="Times New Roman CYR" w:hAnsi="Times New Roman CYR" w:cs="Times New Roman CYR"/>
                <w:sz w:val="24"/>
                <w:szCs w:val="24"/>
              </w:rPr>
              <w:lastRenderedPageBreak/>
              <w:t>передбаченому чинним законодавством та цим Статутом. Вiдхилень вiд норм корпоративного управлiння, що викладенi в Статутi Товариства та  внутрiшнiх положень не вiдбувалось.</w:t>
            </w:r>
          </w:p>
        </w:tc>
      </w:tr>
      <w:tr w:rsidR="007750A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1) загальні збори акціонерів</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Вiдхилень вiд норм корпоративного управлiння, що викладенi в Статутi Товариства та внутрiшнiх положень не вiдбувалось.</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Біографічні дані про кандидатів до складу 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Вiдхилень вiд норм корпоративного управлiння, що викладенi в Статутi Товариства та внутрiшнiх положень не вiдбувалось.</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Участь у Загальних зборах можуть брати: 1) акцiонери Товариства (особи, якi є власниками акцiй Товариства на день проведення Загальних зборiв, незалежно вiд кiлькостi, категорiї та типу акцiй, власниками яких вони є); можливiсть голосувати за прийняття рiшень по кожному питанню порядку денного мають право тiльки власники голосуючих акцiй. Матерiали, пов`язанi з загальними зборами можуть надаватись кожному акцiонеру за письмовим запитом, за допомогою засобiв електронного зв`язку або особисто в день проведення зборiв за мiсцем їх проведення.</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Вiдхилень вiд норм корпоративного управлiння, що викладенi в Статутi Товариства та внутрiшнiх положень не вiдбувалось.</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Участь у Загальних зборах можуть брати: 1) акцiонери Товариства (особи, якi є власниками акцiй Товариства на день проведення Загальних зборiв, незалежно вiд кiлькостi, категорiї та типу акцiй, власниками яких вони є); 2) члени Виконавчого органу , якi не є акцiонерами (з правом дорадчого голосу); 3) представник зовнiшнього аудитора (з метою надання акцiонерам </w:t>
            </w:r>
            <w:r>
              <w:rPr>
                <w:rFonts w:ascii="Times New Roman CYR" w:hAnsi="Times New Roman CYR" w:cs="Times New Roman CYR"/>
                <w:sz w:val="24"/>
                <w:szCs w:val="24"/>
              </w:rPr>
              <w:lastRenderedPageBreak/>
              <w:t>вiдповiдей на питання щодо аудиторського висновку); 4) кандидати, внесенi в бюлетенi для голосування на виборах до органiв управлiння; 5) запрошенi особи; 6) iншi особи з дозволу Голови Загальних зборiв акцiонерiв.</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Вiдхилень вiд норм корпоративного управлiння, що викладенi в Статутi Товариства та внутрiшнiх положень не вiдбувалось.</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Особи, які мають можливість брати участь у загальних зборах,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Вiдхилень вiд норм корпоративного управлiння, що викладенi в Статутi Товариства та внутрiшнiх положень не вiдбувалось.</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Вiдхилень вiд норм корпоративного управлiння, що викладенi в Статутi Товариства та внутрiшнiх положень не вiдбувалось.</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Загальних зборiв акцiонерiв Товариства складається протягом 10 днiв з моменту закриття Загальних зборiв та пiдписується Головуючим i Секретарем Загальних зборiв.</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http://remverstat.pat.ua</w:t>
            </w:r>
          </w:p>
        </w:tc>
      </w:tr>
      <w:tr w:rsidR="007750A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затверджувала окремий документ, в якому розкрито полiтику взаємодiї з акцiонерами.</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Окремий вiддiл з питань взаємодiї з акцiонерами не створювався.</w:t>
            </w:r>
          </w:p>
        </w:tc>
      </w:tr>
      <w:tr w:rsidR="007750A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Радою визначено принципи, як вона </w:t>
            </w:r>
            <w:r>
              <w:rPr>
                <w:rFonts w:ascii="Times New Roman CYR" w:hAnsi="Times New Roman CYR" w:cs="Times New Roman CYR"/>
                <w:sz w:val="24"/>
                <w:szCs w:val="24"/>
              </w:rPr>
              <w:lastRenderedPageBreak/>
              <w:t>діятиме у разі пропозиції щодо поглинання, зокрема:</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Рiшення про схвалення або вiдхилення </w:t>
            </w:r>
            <w:r>
              <w:rPr>
                <w:rFonts w:ascii="Times New Roman CYR" w:hAnsi="Times New Roman CYR" w:cs="Times New Roman CYR"/>
                <w:sz w:val="24"/>
                <w:szCs w:val="24"/>
              </w:rPr>
              <w:lastRenderedPageBreak/>
              <w:t>пропозицiй щодо поглинання приймається Загальними зборами акцiонерного товариства.</w:t>
            </w:r>
          </w:p>
        </w:tc>
      </w:tr>
      <w:tr w:rsidR="007750A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 xml:space="preserve">4) інші стейкхолдери </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емiтента не затверджувалась та не розкривалась полiтика взаємодiїї зi стейкхолдерами.</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Перелiк своїх стейкхолдерiв не визначався.</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щодо аспектiв взаємодiї зi стейкхолдерами не розкривався.</w:t>
            </w:r>
          </w:p>
        </w:tc>
      </w:tr>
      <w:tr w:rsidR="007750A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акцiонерного Товариства є колегiальним органом, що здiйснює захист прав акцiонерiв Товариства, i в межах компетенцiї, визначеної Статутом та Законом України "Про акцiонернi товариства", контролює та регулює дiяльнiсть виконавчого органу.</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її комітетів</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 вимогу Наглядової ради в її засiданнi або в розглядi окремих питань порядку денного засiдання бере участь Виконавчий орган та iншi визначенi нею особи в порядку, встановленому Положенням про Наглядову раду. Товариство не веде облiку вiдвiдувань засiдань Наглядової ради.</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зобов'язанi: - дiяти в iнтересах Товариства, добросовiсно, розумно та не перевищувати своїх повноважень. Обов'язок дiяти добросовiсно i розумно означає необхiднiсть проявляти сумлiннiсть, обачливiсть та належну обережнiсть, якi були б у особи на такiй посадi за подiбних обставин; - керуватися у своїй дiяльностi чинним законодавством України, Статутом </w:t>
            </w:r>
            <w:r>
              <w:rPr>
                <w:rFonts w:ascii="Times New Roman CYR" w:hAnsi="Times New Roman CYR" w:cs="Times New Roman CYR"/>
                <w:sz w:val="24"/>
                <w:szCs w:val="24"/>
              </w:rPr>
              <w:lastRenderedPageBreak/>
              <w:t>Товариства, Положенням про Наглядову раду, iншими внутрiшнiми документами Товариства. - виконувати рiшення, прийнятi Загальними зборами акцiонерiв та Наглядовою радою Товариства;</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право: - брати участь у засiданнях Виконавчого органу Товариства; - отримувати повну, достовiрну та своєчасну iнформацiю про Товарисво, необхiдну для виконання своїх функцiй. Знайомитися iз документами Товариства, отримувати їх копiї. Вищезазначена iнформацiя та документи надаються членам Наглядової ради протягом 5 днiв з дати отримання Товариством вiдповiдного запиту на iм'я керiвника Виконавчого органу Товариства; Посадовi особи органiв акцiонерного Товариства забезпечують членам Наглядової ради доступ до iнформацiї в межах, передбачених Законом України "Про акцiонернi товариства" та Статутом Товариства.</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Оцiнка результатiв дiяльностi Товариства та його Виконавчого органу проводиться на засiданнях Наглядової ради та на Загальних зборах акцiонерiв Товариства.</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право вимагати скликання позачергового засiдання Наглядової ради Товариства у випадку виявлення порушень в дiяльностi Виконавчого органу. До виключної компетенцiї Наглядової ради входить прийняття рiшення про вiдсторонення Виконавчого органу вiд здiйснення повноважень та обрання особи, яка тимчасово здiйснюватиме повноваження Виконавчого органу.</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обирається Загальними зборами акцiонерiв Товариства. Члени Наглядової ради Товариства обираються з числа фiзичних осiб, якi мають повну цивiльну дiєздатнiсть, та/або з числа юридичних осiб - акцiонерiв. До членiв Наглядової ради не висуваються якiсь особливi вимоги.</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Квалiфiкацiйнi вимоги до кандидатiв у члени Наглядової ради переглядаються у вiдповiдностi з потребами виробництва.</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Відбір та призначення членів </w:t>
            </w:r>
            <w:r>
              <w:rPr>
                <w:rFonts w:ascii="Times New Roman CYR" w:hAnsi="Times New Roman CYR" w:cs="Times New Roman CYR"/>
                <w:sz w:val="24"/>
                <w:szCs w:val="24"/>
              </w:rPr>
              <w:lastRenderedPageBreak/>
              <w:t>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так</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Вiдхилень вiд норм корпоративного </w:t>
            </w:r>
            <w:r>
              <w:rPr>
                <w:rFonts w:ascii="Times New Roman CYR" w:hAnsi="Times New Roman CYR" w:cs="Times New Roman CYR"/>
                <w:sz w:val="24"/>
                <w:szCs w:val="24"/>
              </w:rPr>
              <w:lastRenderedPageBreak/>
              <w:t>управлiння, що викладенi в Статутi Товариства та внутрiшнiх  положень не вiдбувалось.</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Члени Наглядової ради зобов`язанi  дотримуватися встановлених в Товариствi правил та процедур </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вiдбору кандидатiв у члени Наглядової ради не передбачає залучення зовнiшнiх радникiв.</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Розробка планiв наступництва для членiв Наглядової ради та Виконавчого органу не передбачена внутрiшнiми документами Товариства.</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рiзноманiття складу Наглядової ради та Виконавчого органу у Товариствi не застосовується.</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Даний пiдхiд до формування складу Наглядової ради у Товариствi не застосовується.</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Обрання Незалежних членiв Наглядової ради не передбачений Статутом товариства.</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обов'язки, функції і сфери відповідальності членів наглядової ради;</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 політики особи, включаючи питання етики, конфлікту інтересів та запобігання корупції;</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Вступний тренiнг проводиться Головою Наглядової ради на першому засiданнi новообраного складу Наглядової ради Товариства з метою визначення прав та обов`язкiв членiв Наглядової ради, порядку роботи, вiдповiдальностi та визначення стратегiї пiдприємства.</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Наглядова рада розробляє план навчання, який визначає, з яких питань необхідно пройти додаткове </w:t>
            </w:r>
            <w:r>
              <w:rPr>
                <w:rFonts w:ascii="Times New Roman CYR" w:hAnsi="Times New Roman CYR" w:cs="Times New Roman CYR"/>
                <w:sz w:val="24"/>
                <w:szCs w:val="24"/>
              </w:rPr>
              <w:lastRenderedPageBreak/>
              <w:t>навчання її членам</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навчання Наглядовою радою не розроблявся.</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Голову наглядової ради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 Наглядової ради обирається серед обраних загальними зборами акцiонерiв членiв Наглядової ради.</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Голова Наглядової ради має необмежену можливiсть для комунiкацiї як з мажоритарними, так i з мiноритарними акцiонерами Товариства.</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Голови Наглядової ради визначаються Положенням про Наглядова раду Товариства.</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Посада корпоративного секретаря  вiдсутня. Функцiї корпоративного секретаря покладено на Наглядову раду та вiдповiдального працiвника Товариства.</w:t>
            </w:r>
          </w:p>
        </w:tc>
      </w:tr>
      <w:tr w:rsidR="007750A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Товариства не створювались.</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Товариства не створювались.</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Товариства не створювались.</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Товариства не створювались.</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Товариства не створювались.</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Комiтети у складi Наглядової ради Товариства не створювались.</w:t>
            </w:r>
          </w:p>
        </w:tc>
      </w:tr>
      <w:tr w:rsidR="007750A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є одноосiбним (Директор), який здiйснює керiвництво його поточною дiяльнiстю та органiзовує виконання рiшень Загальних зборiв акцiонерiв та Наглядової ради </w:t>
            </w:r>
            <w:r>
              <w:rPr>
                <w:rFonts w:ascii="Times New Roman CYR" w:hAnsi="Times New Roman CYR" w:cs="Times New Roman CYR"/>
                <w:sz w:val="24"/>
                <w:szCs w:val="24"/>
              </w:rPr>
              <w:lastRenderedPageBreak/>
              <w:t>Товариства.</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Наглядова рада визначає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компетенцiї Директора належить вирiшення всiх питань, пов'язаних з керiвництвом поточною дiяльнiстю Товариства, крiм питань, що належать до виключної компетенцiї Загальних Зборiв та Наглядової Ради.</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зобов`язаний  своєчасно надавати Наглядовiй радi, внутрiшнiм та зовнiшнiм аудиторам Товариства повну i точну iнформацiю про дiяльнiсть та фiнансовий стан Товариства.</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пiдзвiтний Загальним Зборам i Наглядовiй радi, органiзовує виконання їх рiшень. Директор дiє вiд iменi Товариства у межах, встановлених Статутом та чинним законодавством України. Пiсля прийняття Загальними зборами, Наглядовою радою, Головою Наглядової ради рiшень, вiднесених до їх компетенцiї. Директор має право вiд iменi Товариства вчиняти вiдповiднi дiї, укладати договори (правочини), спрямованi на виконання цих рiшень. Про виконання вищевказаних дiй ДиректорТовариства звiтує Головi Наглядової ради.</w:t>
            </w:r>
          </w:p>
        </w:tc>
      </w:tr>
      <w:tr w:rsidR="007750A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членам Наглядової ради не виплачується. Сума винагороди виконавчого органу визначається наглядовою радою.</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виконання обов'язкiв виконавчий орган, в якостi оплати працi отримує  заробiтну плату згiдно штатного розкладу.</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членам Нагдядової ради не виплачується.</w:t>
            </w:r>
          </w:p>
        </w:tc>
      </w:tr>
      <w:tr w:rsidR="007750A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Товариствi не створювалась система внутрiшнього контролю, яка вiдповiдає моделi концепцiї "трьох лiнiй захисту". Система внутрiшнього контролю i управлiння ризиками визначає всi внутрiшнi правила та процедури контролю, запровадженi керiвництвом Товариства для досягнення поставленої </w:t>
            </w:r>
            <w:r>
              <w:rPr>
                <w:rFonts w:ascii="Times New Roman CYR" w:hAnsi="Times New Roman CYR" w:cs="Times New Roman CYR"/>
                <w:sz w:val="24"/>
                <w:szCs w:val="24"/>
              </w:rPr>
              <w:lastRenderedPageBreak/>
              <w:t>мети - забезпечення (в межах можливого) стабiльного i ефективного функцiонування Товариства, дотримання внутрiшньогосподарської полiтики, збереження та рацiонального використання активiв Товариства, запобiгання та викриття фальсифiкацiй та помилок, точностi i повноти бухгалтерських записiв, своєчасної пiдготовки надiйної фiнансової iнформацiї.</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Рада (невиконавчі директори ради директорів)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вводила механiзм внутрiшнього контролю Товариства, т.я. в Наглядовiй радi вiдсутнiй комiтет з питань аудиту. Наглядова рада має змогу залучити зовнiшнього аудитора.</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Функцiя комплаєнс та ризик-менеджменту яка пiдзвiтна Наглядовiй радi  в Товариствi вiдсутня.</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Положення про "Систему управлiння ризиками емiтента" в Товариствi немає, оскiльки його обов'язкова наявнiсть не передбачена чинним законодавством. Управлiння ризиками Товариства являє собою безперервний процес, що охоплює Товариство; здiйснюється спiвробiтниками на всiх рiвнях; використовується при розробцi та формуваннi стратегiї; нацiлене на визначення подiй, якi можуть впливати на Товариство та управлiння ризиками таким чином, щоб вони не перевищували готовностi Товариства йти на ризик; дає керiвництву розумну гарантiю досягнення цiлей. Серед способiв усунення ризикiв можна видокремити наступнi: а) уникнення ризику - ухилення вiд заходiв, пов'язаних з ризиком; б) утримання ризику - залишення ризику за iнвестором, тобто на його вiдповiдальнiсть; в) зниження ступеня ризику - зменшення iмовiрностi та обсягу втрат.</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 Товариствi не затверджувалася.</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про управлiння ризиками не розглядається.</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 особі затверджено та </w:t>
            </w:r>
            <w:r>
              <w:rPr>
                <w:rFonts w:ascii="Times New Roman CYR" w:hAnsi="Times New Roman CYR" w:cs="Times New Roman CYR"/>
                <w:sz w:val="24"/>
                <w:szCs w:val="24"/>
              </w:rPr>
              <w:lastRenderedPageBreak/>
              <w:t>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lastRenderedPageBreak/>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Кодекс етики в Товариствi не </w:t>
            </w:r>
            <w:r>
              <w:rPr>
                <w:rFonts w:ascii="Times New Roman CYR" w:hAnsi="Times New Roman CYR" w:cs="Times New Roman CYR"/>
                <w:sz w:val="24"/>
                <w:szCs w:val="24"/>
              </w:rPr>
              <w:lastRenderedPageBreak/>
              <w:t>затверджувався.</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В особі забезпечено можливість анонімно і безпечно повідомляти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особi не забезпечено можливiсть анонiмно i безпечно повiдомляти про неправомiрну чи неетичну поведiнку.</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здiйснює свою дiяльнiсть iз дотриманням антикорупцiйного законодавства. Окремий документ  щодо запобiганню корупцiї в Товариствi не затверджувався.</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питання:</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який регулює полiтику конфлiкту iнтересiв в Товариствi немає, запобiгання конфлiкту iнтересiв здiйснюється на пiдставi Статуту Товариства та чинного законодавства. Посадовi особи зобов'язанi уникати конфлiкту iнтересiв, утримуватися вiд прийняття вигод (благ) вiд третiх осiб, повiдомити про заiнтересованiсть у правочинi. Посадовi особи Товариства мають уникати конфлiкту iнтересiв, зокрема, уникати ситуацiй, в яких у них iснує або може виникнути прямий чи опосередкований iнтерес щодо використання майна, iнформацiї або можливостей товариства, якщо такий iнтерес суперечить або може суперечити iнтересам товариства та задоволення такого iнтересу призводить чи може призвести до заподiяння шкоди товариству. Про виникнення конфлiкту iнтересiв посадовi особи Товариства мають невiдкладно письмово повiдомити виконавчий орган.</w:t>
            </w:r>
          </w:p>
        </w:tc>
      </w:tr>
      <w:tr w:rsidR="007750A3">
        <w:tblPrEx>
          <w:tblCellMar>
            <w:top w:w="0" w:type="dxa"/>
            <w:bottom w:w="0" w:type="dxa"/>
          </w:tblCellMar>
        </w:tblPrEx>
        <w:trPr>
          <w:trHeight w:val="200"/>
        </w:trPr>
        <w:tc>
          <w:tcPr>
            <w:tcW w:w="10000" w:type="dxa"/>
            <w:gridSpan w:val="3"/>
            <w:tcBorders>
              <w:top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корпоративного управління</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має практики процедури щорiчної самооцiнки членiв ради</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План дiй для пiдвищення ефективностi роботи членiв ради та практик корпоративного управлiння в Товариствi  не розроблявся.</w:t>
            </w:r>
          </w:p>
        </w:tc>
      </w:tr>
      <w:tr w:rsidR="007750A3">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Емiтент не має практики корпоративного управлiння, застосованої понад визначенi законодавством вимоги. На даний час Статутом та внутрiшнiми документами Товариства не передбачено проведення комплексної оцiнки системи корпоративного управлiння кожнi три роки.</w:t>
            </w:r>
          </w:p>
        </w:tc>
      </w:tr>
    </w:tbl>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про одноосібний виконавчий орган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3500"/>
        <w:gridCol w:w="6500"/>
      </w:tblGrid>
      <w:tr w:rsidR="007750A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Директор Товариства Чонка Ганна Iванiвна, строк повноважень 5 рокiв з 25.07.2018 р.</w:t>
            </w:r>
          </w:p>
        </w:tc>
      </w:tr>
      <w:tr w:rsidR="007750A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p>
        </w:tc>
      </w:tr>
      <w:tr w:rsidR="007750A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p>
        </w:tc>
      </w:tr>
      <w:tr w:rsidR="007750A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керівника</w:t>
            </w:r>
          </w:p>
        </w:tc>
        <w:tc>
          <w:tcPr>
            <w:tcW w:w="6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Вирiшення питань пов'язаних з поточною  фiнансово-господарською дiяльнiстю Товариства.</w:t>
            </w:r>
          </w:p>
        </w:tc>
      </w:tr>
      <w:tr w:rsidR="007750A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p>
        </w:tc>
      </w:tr>
      <w:tr w:rsidR="007750A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p>
        </w:tc>
      </w:tr>
      <w:tr w:rsidR="007750A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p>
        </w:tc>
      </w:tr>
      <w:tr w:rsidR="007750A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jc w:val="both"/>
              <w:rPr>
                <w:rFonts w:ascii="Times New Roman CYR" w:hAnsi="Times New Roman CYR" w:cs="Times New Roman CYR"/>
              </w:rPr>
            </w:pPr>
          </w:p>
        </w:tc>
      </w:tr>
      <w:tr w:rsidR="007750A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p>
        </w:tc>
      </w:tr>
      <w:tr w:rsidR="007750A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p>
        </w:tc>
      </w:tr>
      <w:tr w:rsidR="007750A3">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p>
        </w:tc>
      </w:tr>
    </w:tbl>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rsidR="007750A3" w:rsidRDefault="007750A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108" w:type="dxa"/>
        <w:tblLayout w:type="fixed"/>
        <w:tblLook w:val="0000"/>
      </w:tblPr>
      <w:tblGrid>
        <w:gridCol w:w="2160"/>
        <w:gridCol w:w="4490"/>
        <w:gridCol w:w="1990"/>
        <w:gridCol w:w="1360"/>
      </w:tblGrid>
      <w:tr w:rsidR="007750A3">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7750A3">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2023.01.01</w:t>
            </w:r>
          </w:p>
        </w:tc>
      </w:tr>
      <w:tr w:rsidR="007750A3">
        <w:tblPrEx>
          <w:tblCellMar>
            <w:top w:w="0" w:type="dxa"/>
            <w:bottom w:w="0" w:type="dxa"/>
          </w:tblCellMar>
        </w:tblPrEx>
        <w:tc>
          <w:tcPr>
            <w:tcW w:w="2160" w:type="dxa"/>
            <w:tcBorders>
              <w:top w:val="nil"/>
              <w:left w:val="nil"/>
              <w:bottom w:val="nil"/>
              <w:right w:val="nil"/>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товариство"Iршавремверстат"</w:t>
            </w:r>
          </w:p>
        </w:tc>
        <w:tc>
          <w:tcPr>
            <w:tcW w:w="1990" w:type="dxa"/>
            <w:tcBorders>
              <w:top w:val="nil"/>
              <w:left w:val="nil"/>
              <w:bottom w:val="nil"/>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00223177</w:t>
            </w:r>
          </w:p>
        </w:tc>
      </w:tr>
      <w:tr w:rsidR="007750A3">
        <w:tblPrEx>
          <w:tblCellMar>
            <w:top w:w="0" w:type="dxa"/>
            <w:bottom w:w="0" w:type="dxa"/>
          </w:tblCellMar>
        </w:tblPrEx>
        <w:tc>
          <w:tcPr>
            <w:tcW w:w="2160" w:type="dxa"/>
            <w:tcBorders>
              <w:top w:val="nil"/>
              <w:left w:val="nil"/>
              <w:bottom w:val="nil"/>
              <w:right w:val="nil"/>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2121910100</w:t>
            </w:r>
          </w:p>
        </w:tc>
      </w:tr>
      <w:tr w:rsidR="007750A3">
        <w:tblPrEx>
          <w:tblCellMar>
            <w:top w:w="0" w:type="dxa"/>
            <w:bottom w:w="0" w:type="dxa"/>
          </w:tblCellMar>
        </w:tblPrEx>
        <w:tc>
          <w:tcPr>
            <w:tcW w:w="2160" w:type="dxa"/>
            <w:tcBorders>
              <w:top w:val="nil"/>
              <w:left w:val="nil"/>
              <w:bottom w:val="nil"/>
              <w:right w:val="nil"/>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7750A3">
        <w:tblPrEx>
          <w:tblCellMar>
            <w:top w:w="0" w:type="dxa"/>
            <w:bottom w:w="0" w:type="dxa"/>
          </w:tblCellMar>
        </w:tblPrEx>
        <w:trPr>
          <w:trHeight w:val="298"/>
        </w:trPr>
        <w:tc>
          <w:tcPr>
            <w:tcW w:w="2160" w:type="dxa"/>
            <w:vMerge w:val="restart"/>
            <w:tcBorders>
              <w:top w:val="nil"/>
              <w:left w:val="nil"/>
              <w:bottom w:val="nil"/>
              <w:right w:val="nil"/>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Виробництво інших верстатів</w:t>
            </w:r>
          </w:p>
        </w:tc>
        <w:tc>
          <w:tcPr>
            <w:tcW w:w="1990" w:type="dxa"/>
            <w:tcBorders>
              <w:top w:val="nil"/>
              <w:left w:val="nil"/>
              <w:bottom w:val="nil"/>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28.49</w:t>
            </w:r>
          </w:p>
        </w:tc>
      </w:tr>
    </w:tbl>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3</w:t>
      </w:r>
    </w:p>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90300, Закарпатська обл., Iршавський р-н, м.Iршава, Гагарiна,110, -380954968035</w:t>
      </w:r>
    </w:p>
    <w:p w:rsidR="007750A3" w:rsidRDefault="007750A3">
      <w:pPr>
        <w:widowControl w:val="0"/>
        <w:autoSpaceDE w:val="0"/>
        <w:autoSpaceDN w:val="0"/>
        <w:adjustRightInd w:val="0"/>
        <w:spacing w:after="0" w:line="240" w:lineRule="auto"/>
        <w:rPr>
          <w:rFonts w:ascii="Times New Roman CYR" w:hAnsi="Times New Roman CYR" w:cs="Times New Roman CYR"/>
          <w:sz w:val="24"/>
          <w:szCs w:val="24"/>
        </w:rPr>
      </w:pPr>
    </w:p>
    <w:p w:rsidR="007750A3" w:rsidRDefault="007750A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31.12.2022 p.</w:t>
      </w:r>
    </w:p>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7750A3">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7750A3" w:rsidRDefault="007750A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1801006</w:t>
            </w:r>
          </w:p>
        </w:tc>
      </w:tr>
      <w:tr w:rsidR="007750A3">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706,7</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698,8</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1977,9</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1970,8</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(1271,2)</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(1272)</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706,7</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698,8</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105,5</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51,2</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23,7</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0,6</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142,3</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54,2</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849</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753</w:t>
            </w:r>
          </w:p>
        </w:tc>
      </w:tr>
    </w:tbl>
    <w:p w:rsidR="007750A3" w:rsidRDefault="007750A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1729"/>
        <w:gridCol w:w="1645"/>
      </w:tblGrid>
      <w:tr w:rsidR="007750A3">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p>
        </w:tc>
      </w:tr>
      <w:tr w:rsidR="007750A3">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c>
          <w:tcPr>
            <w:tcW w:w="164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31,7</w:t>
            </w:r>
          </w:p>
        </w:tc>
        <w:tc>
          <w:tcPr>
            <w:tcW w:w="164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31,7</w:t>
            </w:r>
          </w:p>
        </w:tc>
      </w:tr>
      <w:tr w:rsidR="007750A3">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68,7</w:t>
            </w:r>
          </w:p>
        </w:tc>
        <w:tc>
          <w:tcPr>
            <w:tcW w:w="164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68,7</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161,4</w:t>
            </w:r>
          </w:p>
        </w:tc>
        <w:tc>
          <w:tcPr>
            <w:tcW w:w="164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139</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64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13,9</w:t>
            </w:r>
          </w:p>
        </w:tc>
        <w:tc>
          <w:tcPr>
            <w:tcW w:w="164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38,8</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603</w:t>
            </w:r>
          </w:p>
        </w:tc>
        <w:tc>
          <w:tcPr>
            <w:tcW w:w="164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504,5</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780,3</w:t>
            </w:r>
          </w:p>
        </w:tc>
        <w:tc>
          <w:tcPr>
            <w:tcW w:w="164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684,3</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849</w:t>
            </w:r>
          </w:p>
        </w:tc>
        <w:tc>
          <w:tcPr>
            <w:tcW w:w="1645"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753</w:t>
            </w:r>
          </w:p>
        </w:tc>
      </w:tr>
    </w:tbl>
    <w:p w:rsidR="007750A3" w:rsidRDefault="007750A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Вiдсутнi</w:t>
      </w:r>
    </w:p>
    <w:p w:rsidR="007750A3" w:rsidRDefault="007750A3">
      <w:pPr>
        <w:widowControl w:val="0"/>
        <w:autoSpaceDE w:val="0"/>
        <w:autoSpaceDN w:val="0"/>
        <w:adjustRightInd w:val="0"/>
        <w:spacing w:after="0" w:line="240" w:lineRule="auto"/>
        <w:rPr>
          <w:rFonts w:ascii="Times New Roman CYR" w:hAnsi="Times New Roman CYR" w:cs="Times New Roman CYR"/>
        </w:rPr>
      </w:pPr>
    </w:p>
    <w:p w:rsidR="007750A3" w:rsidRDefault="007750A3">
      <w:pPr>
        <w:widowControl w:val="0"/>
        <w:autoSpaceDE w:val="0"/>
        <w:autoSpaceDN w:val="0"/>
        <w:adjustRightInd w:val="0"/>
        <w:spacing w:after="0" w:line="240" w:lineRule="auto"/>
        <w:rPr>
          <w:rFonts w:ascii="Times New Roman CYR" w:hAnsi="Times New Roman CYR" w:cs="Times New Roman CYR"/>
        </w:rPr>
        <w:sectPr w:rsidR="007750A3">
          <w:pgSz w:w="12240" w:h="15840"/>
          <w:pgMar w:top="570" w:right="720" w:bottom="570" w:left="720" w:header="720" w:footer="720" w:gutter="0"/>
          <w:cols w:space="720"/>
          <w:noEndnote/>
        </w:sectPr>
      </w:pPr>
    </w:p>
    <w:p w:rsidR="007750A3" w:rsidRDefault="007750A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2. Звіт про фінансові результати</w:t>
      </w:r>
    </w:p>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2022 рік</w:t>
      </w:r>
    </w:p>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tblPr>
      <w:tblGrid>
        <w:gridCol w:w="5850"/>
        <w:gridCol w:w="776"/>
        <w:gridCol w:w="874"/>
        <w:gridCol w:w="855"/>
        <w:gridCol w:w="645"/>
        <w:gridCol w:w="1000"/>
      </w:tblGrid>
      <w:tr w:rsidR="007750A3">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7750A3" w:rsidRDefault="007750A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7750A3">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48,8</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163,3</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554,9</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171,6</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346,2</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603,7</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(48,8)</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(334,9)</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(554,9)</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(346,2)</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(603,7)</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7750A3">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7750A3" w:rsidRDefault="007750A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7750A3" w:rsidRDefault="007750A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Вiдсутнi</w:t>
      </w:r>
    </w:p>
    <w:p w:rsidR="007750A3" w:rsidRDefault="007750A3">
      <w:pPr>
        <w:widowControl w:val="0"/>
        <w:autoSpaceDE w:val="0"/>
        <w:autoSpaceDN w:val="0"/>
        <w:adjustRightInd w:val="0"/>
        <w:spacing w:after="0" w:line="240" w:lineRule="auto"/>
        <w:jc w:val="both"/>
        <w:rPr>
          <w:rFonts w:ascii="Times New Roman CYR" w:hAnsi="Times New Roman CYR" w:cs="Times New Roman CYR"/>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Чонка Г.I.</w:t>
      </w:r>
    </w:p>
    <w:p w:rsidR="007750A3" w:rsidRDefault="007750A3">
      <w:pPr>
        <w:widowControl w:val="0"/>
        <w:autoSpaceDE w:val="0"/>
        <w:autoSpaceDN w:val="0"/>
        <w:adjustRightInd w:val="0"/>
        <w:spacing w:after="0" w:line="240" w:lineRule="auto"/>
        <w:jc w:val="both"/>
        <w:rPr>
          <w:rFonts w:ascii="Times New Roman CYR" w:hAnsi="Times New Roman CYR" w:cs="Times New Roman CYR"/>
        </w:rPr>
      </w:pPr>
    </w:p>
    <w:p w:rsidR="007750A3" w:rsidRDefault="007750A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не передбачений</w:t>
      </w:r>
    </w:p>
    <w:p w:rsidR="007750A3" w:rsidRDefault="007750A3">
      <w:pPr>
        <w:widowControl w:val="0"/>
        <w:autoSpaceDE w:val="0"/>
        <w:autoSpaceDN w:val="0"/>
        <w:adjustRightInd w:val="0"/>
        <w:spacing w:after="0" w:line="240" w:lineRule="auto"/>
        <w:jc w:val="both"/>
        <w:rPr>
          <w:rFonts w:ascii="Times New Roman CYR" w:hAnsi="Times New Roman CYR" w:cs="Times New Roman CYR"/>
        </w:rPr>
        <w:sectPr w:rsidR="007750A3">
          <w:pgSz w:w="12240" w:h="15840"/>
          <w:pgMar w:top="570" w:right="720" w:bottom="570" w:left="720" w:header="720" w:footer="720" w:gutter="0"/>
          <w:cols w:space="720"/>
          <w:noEndnote/>
        </w:sectPr>
      </w:pPr>
    </w:p>
    <w:p w:rsidR="007750A3" w:rsidRDefault="007750A3">
      <w:pPr>
        <w:widowControl w:val="0"/>
        <w:autoSpaceDE w:val="0"/>
        <w:autoSpaceDN w:val="0"/>
        <w:adjustRightInd w:val="0"/>
        <w:spacing w:after="0" w:line="240" w:lineRule="auto"/>
        <w:rPr>
          <w:rFonts w:ascii="Times New Roman CYR" w:hAnsi="Times New Roman CYR" w:cs="Times New Roman CYR"/>
        </w:rPr>
      </w:pPr>
    </w:p>
    <w:p w:rsidR="007750A3" w:rsidRDefault="007750A3">
      <w:pPr>
        <w:widowControl w:val="0"/>
        <w:autoSpaceDE w:val="0"/>
        <w:autoSpaceDN w:val="0"/>
        <w:adjustRightInd w:val="0"/>
        <w:spacing w:after="0" w:line="240" w:lineRule="auto"/>
        <w:rPr>
          <w:rFonts w:ascii="Times New Roman CYR" w:hAnsi="Times New Roman CYR" w:cs="Times New Roman CYR"/>
        </w:rPr>
      </w:pPr>
    </w:p>
    <w:sectPr w:rsidR="007750A3">
      <w:pgSz w:w="12240" w:h="15840"/>
      <w:pgMar w:top="570" w:right="720" w:bottom="570" w:left="72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7750A3"/>
    <w:rsid w:val="00525F46"/>
    <w:rsid w:val="007750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heme="min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9505</Words>
  <Characters>54181</Characters>
  <Application>Microsoft Office Word</Application>
  <DocSecurity>0</DocSecurity>
  <Lines>451</Lines>
  <Paragraphs>127</Paragraphs>
  <ScaleCrop>false</ScaleCrop>
  <Company/>
  <LinksUpToDate>false</LinksUpToDate>
  <CharactersWithSpaces>63559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2025-08-26T11:15:00Z</dcterms:created>
  <dcterms:modified xsi:type="dcterms:W3CDTF">2025-08-26T11:15:00Z</dcterms:modified>
</cp:coreProperties>
</file>